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6" w:type="dxa"/>
        <w:tblInd w:w="-1107" w:type="dxa"/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892"/>
        <w:gridCol w:w="1972"/>
        <w:gridCol w:w="2939"/>
        <w:gridCol w:w="670"/>
        <w:gridCol w:w="1683"/>
      </w:tblGrid>
      <w:tr w:rsidR="00841615" w:rsidTr="00313366">
        <w:trPr>
          <w:trHeight w:val="222"/>
        </w:trPr>
        <w:tc>
          <w:tcPr>
            <w:tcW w:w="2892" w:type="dxa"/>
            <w:vMerge w:val="restart"/>
            <w:shd w:val="clear" w:color="auto" w:fill="auto"/>
          </w:tcPr>
          <w:p w:rsidR="00841615" w:rsidRPr="00313366" w:rsidRDefault="00BD072A" w:rsidP="00212046">
            <w:pPr>
              <w:rPr>
                <w:rFonts w:ascii="Verdana" w:hAnsi="Verdana"/>
                <w:sz w:val="18"/>
                <w:szCs w:val="18"/>
              </w:rPr>
            </w:pPr>
            <w:bookmarkStart w:id="0" w:name="zhLogo"/>
            <w:bookmarkStart w:id="1" w:name="zDokInfogaDoktypPos" w:colFirst="2" w:colLast="2"/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1593850" cy="742950"/>
                  <wp:effectExtent l="0" t="0" r="0" b="0"/>
                  <wp:docPr id="1" name="Bild 1" descr="logo_grey_pos_44mm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ey_pos_44mm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72" w:type="dxa"/>
            <w:vMerge w:val="restart"/>
            <w:shd w:val="clear" w:color="auto" w:fill="auto"/>
          </w:tcPr>
          <w:p w:rsidR="00841615" w:rsidRDefault="00841615" w:rsidP="00212046">
            <w:pPr>
              <w:pStyle w:val="zStatus"/>
            </w:pPr>
          </w:p>
        </w:tc>
        <w:tc>
          <w:tcPr>
            <w:tcW w:w="2939" w:type="dxa"/>
            <w:vMerge w:val="restart"/>
            <w:shd w:val="clear" w:color="auto" w:fill="auto"/>
          </w:tcPr>
          <w:p w:rsidR="00841615" w:rsidRDefault="00E42A5B" w:rsidP="00212046">
            <w:pPr>
              <w:pStyle w:val="zTypAvDokument"/>
            </w:pPr>
            <w:r>
              <w:t>Bilaga 4</w:t>
            </w:r>
          </w:p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Brevhuvud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/>
        </w:tc>
      </w:tr>
      <w:bookmarkEnd w:id="1"/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Dokbet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>
            <w:pPr>
              <w:pStyle w:val="zDokbet"/>
            </w:pPr>
          </w:p>
        </w:tc>
      </w:tr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>
            <w:bookmarkStart w:id="2" w:name="zVersion" w:colFirst="4" w:colLast="4"/>
          </w:p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 w:val="restart"/>
            <w:shd w:val="clear" w:color="auto" w:fill="auto"/>
          </w:tcPr>
          <w:p w:rsidR="00841615" w:rsidRDefault="00841615" w:rsidP="00751554">
            <w:pPr>
              <w:pStyle w:val="zDatum"/>
            </w:pPr>
            <w:bookmarkStart w:id="3" w:name="zz_Datum"/>
            <w:r>
              <w:t>201</w:t>
            </w:r>
            <w:r w:rsidR="00751554">
              <w:t>6</w:t>
            </w:r>
            <w:r>
              <w:t>-0</w:t>
            </w:r>
            <w:r w:rsidR="005C58EB">
              <w:t>2</w:t>
            </w:r>
            <w:r>
              <w:t>-</w:t>
            </w:r>
            <w:bookmarkEnd w:id="3"/>
            <w:r w:rsidR="00751554">
              <w:t>19</w:t>
            </w:r>
          </w:p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VersionLedtext"/>
            </w:pPr>
          </w:p>
        </w:tc>
        <w:tc>
          <w:tcPr>
            <w:tcW w:w="1683" w:type="dxa"/>
            <w:shd w:val="clear" w:color="auto" w:fill="auto"/>
          </w:tcPr>
          <w:p w:rsidR="00841615" w:rsidRDefault="00841615" w:rsidP="00212046">
            <w:pPr>
              <w:pStyle w:val="zVersion"/>
            </w:pPr>
          </w:p>
        </w:tc>
      </w:tr>
      <w:bookmarkEnd w:id="2"/>
      <w:tr w:rsidR="00841615" w:rsidTr="00313366">
        <w:trPr>
          <w:trHeight w:hRule="exact" w:val="222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197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2939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670" w:type="dxa"/>
            <w:shd w:val="clear" w:color="auto" w:fill="auto"/>
          </w:tcPr>
          <w:p w:rsidR="00841615" w:rsidRDefault="00841615" w:rsidP="00212046">
            <w:pPr>
              <w:pStyle w:val="zDnrLedtext"/>
            </w:pPr>
            <w:r>
              <w:t>Dnr/ref.</w:t>
            </w:r>
          </w:p>
        </w:tc>
        <w:tc>
          <w:tcPr>
            <w:tcW w:w="1683" w:type="dxa"/>
            <w:shd w:val="clear" w:color="auto" w:fill="auto"/>
          </w:tcPr>
          <w:p w:rsidR="00841615" w:rsidRDefault="00C66487" w:rsidP="00751554">
            <w:pPr>
              <w:pStyle w:val="zDnr"/>
            </w:pPr>
            <w:r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VER </w:t>
            </w:r>
            <w:r w:rsidR="00841615"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>201</w:t>
            </w:r>
            <w:r w:rsidR="00751554">
              <w:rPr>
                <w:rFonts w:ascii="Courier New" w:hAnsi="Courier New" w:cs="Courier New"/>
                <w:sz w:val="20"/>
                <w:szCs w:val="20"/>
                <w:lang w:eastAsia="en-US"/>
              </w:rPr>
              <w:t>6</w:t>
            </w:r>
            <w:r w:rsidR="00841615" w:rsidRPr="00313366"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  <w:r w:rsidR="00751554">
              <w:rPr>
                <w:rFonts w:ascii="Courier New" w:hAnsi="Courier New" w:cs="Courier New"/>
                <w:sz w:val="20"/>
                <w:szCs w:val="20"/>
                <w:lang w:eastAsia="en-US"/>
              </w:rPr>
              <w:t>4</w:t>
            </w:r>
          </w:p>
        </w:tc>
      </w:tr>
      <w:tr w:rsidR="00841615" w:rsidTr="00313366">
        <w:trPr>
          <w:trHeight w:val="438"/>
        </w:trPr>
        <w:tc>
          <w:tcPr>
            <w:tcW w:w="2892" w:type="dxa"/>
            <w:vMerge/>
            <w:shd w:val="clear" w:color="auto" w:fill="auto"/>
          </w:tcPr>
          <w:p w:rsidR="00841615" w:rsidRDefault="00841615" w:rsidP="00212046"/>
        </w:tc>
        <w:tc>
          <w:tcPr>
            <w:tcW w:w="7263" w:type="dxa"/>
            <w:gridSpan w:val="4"/>
            <w:shd w:val="clear" w:color="auto" w:fill="auto"/>
          </w:tcPr>
          <w:p w:rsidR="00841615" w:rsidRDefault="00841615" w:rsidP="00212046"/>
        </w:tc>
      </w:tr>
    </w:tbl>
    <w:p w:rsidR="00D457FD" w:rsidRPr="00F91D88" w:rsidRDefault="00D457FD" w:rsidP="00D457FD">
      <w:pPr>
        <w:keepNext/>
      </w:pPr>
    </w:p>
    <w:p w:rsidR="00A00EF2" w:rsidRPr="00FD230A" w:rsidRDefault="00FD230A" w:rsidP="00FD230A">
      <w:pPr>
        <w:pStyle w:val="anslagspostrubrik"/>
        <w:rPr>
          <w:sz w:val="28"/>
          <w:szCs w:val="28"/>
        </w:rPr>
      </w:pPr>
      <w:r w:rsidRPr="00FD230A">
        <w:rPr>
          <w:sz w:val="28"/>
          <w:szCs w:val="28"/>
        </w:rPr>
        <w:t>Jämförelsetabeller</w:t>
      </w:r>
    </w:p>
    <w:p w:rsidR="005C58EB" w:rsidRPr="009F098F" w:rsidRDefault="005C58EB" w:rsidP="005C58EB">
      <w:bookmarkStart w:id="4" w:name="bkmAnslag"/>
      <w:bookmarkStart w:id="5" w:name="_Toc244589642"/>
      <w:bookmarkEnd w:id="4"/>
      <w:r w:rsidRPr="009F098F">
        <w:t xml:space="preserve">I denna bilaga redovisas en jämförelse med de prognoser som lämnades till regeringen den </w:t>
      </w:r>
      <w:r w:rsidR="007E39D7">
        <w:t>20</w:t>
      </w:r>
      <w:r w:rsidRPr="009F098F">
        <w:t xml:space="preserve"> januari 20</w:t>
      </w:r>
      <w:r>
        <w:t>1</w:t>
      </w:r>
      <w:r w:rsidR="00751554">
        <w:t>6</w:t>
      </w:r>
      <w:r w:rsidRPr="009F098F">
        <w:t xml:space="preserve">. </w:t>
      </w:r>
    </w:p>
    <w:p w:rsidR="00A018DF" w:rsidRDefault="00A018DF" w:rsidP="005C58EB"/>
    <w:p w:rsidR="005C58EB" w:rsidRPr="009F098F" w:rsidRDefault="00A018DF" w:rsidP="005C58EB">
      <w:r>
        <w:t xml:space="preserve">Det underlag från Konjunkturinstitutet som användes till de prognoser som lämnades till regeringen i januari har </w:t>
      </w:r>
      <w:r w:rsidR="00493AE0">
        <w:t xml:space="preserve">också </w:t>
      </w:r>
      <w:r>
        <w:t>använts till prognoserna till budgetunderlaget.</w:t>
      </w:r>
      <w:r w:rsidRPr="00072DCC">
        <w:t xml:space="preserve"> Däremot har</w:t>
      </w:r>
      <w:r w:rsidR="00493AE0" w:rsidRPr="00072DCC">
        <w:t xml:space="preserve"> prognosen för </w:t>
      </w:r>
      <w:r w:rsidRPr="00072DCC">
        <w:t>balan</w:t>
      </w:r>
      <w:r w:rsidR="00493AE0" w:rsidRPr="00072DCC">
        <w:t>s</w:t>
      </w:r>
      <w:r w:rsidRPr="00072DCC">
        <w:t>talet och balansindex förändrats.</w:t>
      </w:r>
      <w:r w:rsidR="00B86F46" w:rsidRPr="006B4F52">
        <w:t xml:space="preserve"> </w:t>
      </w:r>
      <w:r w:rsidR="00235516">
        <w:t xml:space="preserve">Prognosen </w:t>
      </w:r>
      <w:r w:rsidR="00235516" w:rsidRPr="00235516">
        <w:t>för b</w:t>
      </w:r>
      <w:r w:rsidR="00B86F46" w:rsidRPr="00235516">
        <w:t xml:space="preserve">alansindex har </w:t>
      </w:r>
      <w:r w:rsidR="00906F84" w:rsidRPr="00235516">
        <w:t xml:space="preserve">sänkts </w:t>
      </w:r>
      <w:r w:rsidR="000902E4">
        <w:t xml:space="preserve">något </w:t>
      </w:r>
      <w:r w:rsidR="00C649F3" w:rsidRPr="00235516">
        <w:t>för 201</w:t>
      </w:r>
      <w:r w:rsidR="00C4699C" w:rsidRPr="00235516">
        <w:t>7</w:t>
      </w:r>
      <w:r w:rsidR="00235516" w:rsidRPr="00235516">
        <w:t>. Till skillnad från föregående prognos beräkn</w:t>
      </w:r>
      <w:r w:rsidR="00B03882">
        <w:t>as att det även 2018 kommer att</w:t>
      </w:r>
      <w:r w:rsidR="00235516" w:rsidRPr="00235516">
        <w:t xml:space="preserve"> finnas ett balansindex som är läg</w:t>
      </w:r>
      <w:r w:rsidR="00235516" w:rsidRPr="00CA2312">
        <w:t>re än inkomstindex</w:t>
      </w:r>
      <w:r w:rsidR="00934223" w:rsidRPr="006B4F52">
        <w:t>.</w:t>
      </w:r>
      <w:r w:rsidR="00B86F46" w:rsidRPr="006B4F52">
        <w:t xml:space="preserve"> </w:t>
      </w:r>
      <w:r>
        <w:t>De</w:t>
      </w:r>
      <w:r w:rsidR="000902E4">
        <w:t>ss</w:t>
      </w:r>
      <w:r w:rsidR="00D92050">
        <w:t>a</w:t>
      </w:r>
      <w:r>
        <w:t xml:space="preserve"> förändring</w:t>
      </w:r>
      <w:r w:rsidR="000902E4">
        <w:t>ar</w:t>
      </w:r>
      <w:r>
        <w:t xml:space="preserve"> redovisas som ”Ändrade makro</w:t>
      </w:r>
      <w:r w:rsidR="00072DCC">
        <w:softHyphen/>
      </w:r>
      <w:r>
        <w:t xml:space="preserve">ekonomiska antaganden”. Andra förändringar redovisas under respektive anslag.  </w:t>
      </w:r>
      <w:r w:rsidR="005C58EB" w:rsidRPr="009F098F">
        <w:t xml:space="preserve"> </w:t>
      </w:r>
    </w:p>
    <w:p w:rsidR="005C58EB" w:rsidRDefault="005C58EB" w:rsidP="005C58EB"/>
    <w:p w:rsidR="005C58EB" w:rsidRPr="00976CD1" w:rsidRDefault="00B13956" w:rsidP="005C58EB">
      <w:pPr>
        <w:pStyle w:val="anslagspostrubrik"/>
      </w:pPr>
      <w:bookmarkStart w:id="6" w:name="_Toc221685245"/>
      <w:r>
        <w:t>11.</w:t>
      </w:r>
      <w:r w:rsidR="005C58EB">
        <w:t>1:1</w:t>
      </w:r>
      <w:r w:rsidR="005C58EB">
        <w:tab/>
        <w:t>Garantipension till ålderspension</w:t>
      </w:r>
      <w:bookmarkEnd w:id="6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5C58EB" w:rsidRDefault="005C58EB" w:rsidP="005C58EB">
      <w:pPr>
        <w:keepNext/>
      </w:pPr>
    </w:p>
    <w:p w:rsidR="005C58EB" w:rsidRPr="00A01D93" w:rsidRDefault="005C58EB" w:rsidP="005C58EB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8B07AE" w:rsidRPr="00B44852" w:rsidTr="00735331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Pr="00B44852" w:rsidRDefault="008B07AE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Pr="00B44852" w:rsidRDefault="008B07AE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B07AE" w:rsidRDefault="008B07AE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51554">
              <w:rPr>
                <w:b/>
              </w:rPr>
              <w:t>20</w:t>
            </w:r>
          </w:p>
        </w:tc>
      </w:tr>
      <w:tr w:rsidR="001701F3" w:rsidRPr="008244FA" w:rsidTr="00526FA1">
        <w:tc>
          <w:tcPr>
            <w:tcW w:w="3401" w:type="dxa"/>
            <w:tcBorders>
              <w:top w:val="single" w:sz="4" w:space="0" w:color="auto"/>
            </w:tcBorders>
          </w:tcPr>
          <w:p w:rsidR="001701F3" w:rsidRPr="008244FA" w:rsidRDefault="001701F3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14 385 700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13 151 200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12 589 900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12 662 600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13 218 400</w:t>
            </w: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C6526" w:rsidRPr="00B44852" w:rsidTr="00735331">
        <w:tc>
          <w:tcPr>
            <w:tcW w:w="3401" w:type="dxa"/>
          </w:tcPr>
          <w:p w:rsidR="001C6526" w:rsidRPr="00B44852" w:rsidRDefault="001C652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1C6526" w:rsidRPr="00751554" w:rsidRDefault="001C652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C6526" w:rsidRPr="00C66E22" w:rsidRDefault="00C66E22" w:rsidP="000F7ADC">
            <w:pPr>
              <w:pStyle w:val="anslagstabell-hgerstlld"/>
            </w:pPr>
            <w:r w:rsidRPr="00C66E22">
              <w:t>+5 000</w:t>
            </w:r>
          </w:p>
        </w:tc>
        <w:tc>
          <w:tcPr>
            <w:tcW w:w="1157" w:type="dxa"/>
          </w:tcPr>
          <w:p w:rsidR="001C6526" w:rsidRPr="00C66E22" w:rsidRDefault="00C66E22" w:rsidP="001C6526">
            <w:pPr>
              <w:pStyle w:val="anslagstabell-hgerstlld"/>
            </w:pPr>
            <w:r w:rsidRPr="00C66E22">
              <w:t>+13 000</w:t>
            </w:r>
          </w:p>
        </w:tc>
        <w:tc>
          <w:tcPr>
            <w:tcW w:w="1157" w:type="dxa"/>
          </w:tcPr>
          <w:p w:rsidR="001C6526" w:rsidRPr="00C66E22" w:rsidRDefault="00C66E22" w:rsidP="001C6526">
            <w:pPr>
              <w:pStyle w:val="anslagstabell-hgerstlld"/>
            </w:pPr>
            <w:r w:rsidRPr="00C66E22">
              <w:t>+6 000</w:t>
            </w:r>
          </w:p>
        </w:tc>
        <w:tc>
          <w:tcPr>
            <w:tcW w:w="1157" w:type="dxa"/>
          </w:tcPr>
          <w:p w:rsidR="001C6526" w:rsidRPr="00C66E22" w:rsidRDefault="00C66E22" w:rsidP="001C6526">
            <w:pPr>
              <w:pStyle w:val="anslagstabell-hgerstlld"/>
            </w:pPr>
            <w:r w:rsidRPr="00C66E22">
              <w:t>+2 000</w:t>
            </w:r>
          </w:p>
        </w:tc>
      </w:tr>
      <w:tr w:rsidR="001701F3" w:rsidRPr="00B44852" w:rsidTr="00735331">
        <w:tc>
          <w:tcPr>
            <w:tcW w:w="3401" w:type="dxa"/>
          </w:tcPr>
          <w:p w:rsidR="001701F3" w:rsidRPr="00B44852" w:rsidRDefault="001701F3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1701F3" w:rsidRPr="001701F3" w:rsidRDefault="001701F3" w:rsidP="00FF178A">
            <w:pPr>
              <w:pStyle w:val="anslagstabell-hgerstlld"/>
            </w:pPr>
            <w:r>
              <w:t>+33 600</w:t>
            </w:r>
          </w:p>
        </w:tc>
        <w:tc>
          <w:tcPr>
            <w:tcW w:w="1157" w:type="dxa"/>
          </w:tcPr>
          <w:p w:rsidR="001701F3" w:rsidRPr="001701F3" w:rsidRDefault="001701F3" w:rsidP="00FF178A">
            <w:pPr>
              <w:pStyle w:val="anslagstabell-hgerstlld"/>
            </w:pPr>
            <w:r>
              <w:t>+33 700</w:t>
            </w:r>
          </w:p>
        </w:tc>
        <w:tc>
          <w:tcPr>
            <w:tcW w:w="1157" w:type="dxa"/>
          </w:tcPr>
          <w:p w:rsidR="001701F3" w:rsidRPr="001701F3" w:rsidRDefault="001701F3" w:rsidP="00FF178A">
            <w:pPr>
              <w:pStyle w:val="anslagstabell-hgerstlld"/>
            </w:pPr>
            <w:r w:rsidRPr="001701F3">
              <w:t>+</w:t>
            </w:r>
            <w:r>
              <w:t>34 600</w:t>
            </w:r>
          </w:p>
        </w:tc>
        <w:tc>
          <w:tcPr>
            <w:tcW w:w="1157" w:type="dxa"/>
          </w:tcPr>
          <w:p w:rsidR="001701F3" w:rsidRPr="001701F3" w:rsidRDefault="001701F3" w:rsidP="00FF178A">
            <w:pPr>
              <w:pStyle w:val="anslagstabell-hgerstlld"/>
            </w:pPr>
            <w:r w:rsidRPr="001701F3">
              <w:t>+3</w:t>
            </w:r>
            <w:r>
              <w:t>8</w:t>
            </w:r>
            <w:r w:rsidRPr="001701F3">
              <w:t xml:space="preserve"> </w:t>
            </w:r>
            <w:r>
              <w:t>7</w:t>
            </w:r>
            <w:r w:rsidRPr="001701F3">
              <w:t>00</w:t>
            </w:r>
          </w:p>
        </w:tc>
        <w:tc>
          <w:tcPr>
            <w:tcW w:w="1157" w:type="dxa"/>
          </w:tcPr>
          <w:p w:rsidR="001701F3" w:rsidRPr="001701F3" w:rsidRDefault="001701F3" w:rsidP="00FF178A">
            <w:pPr>
              <w:pStyle w:val="anslagstabell-hgerstlld"/>
            </w:pPr>
            <w:r w:rsidRPr="001701F3">
              <w:t>+4</w:t>
            </w:r>
            <w:r>
              <w:t>5</w:t>
            </w:r>
            <w:r w:rsidRPr="001701F3">
              <w:t xml:space="preserve"> </w:t>
            </w:r>
            <w:r>
              <w:t>6</w:t>
            </w:r>
            <w:r w:rsidRPr="001701F3">
              <w:t>00</w:t>
            </w:r>
          </w:p>
        </w:tc>
      </w:tr>
      <w:tr w:rsidR="001701F3" w:rsidRPr="00B44852" w:rsidTr="00735331">
        <w:tc>
          <w:tcPr>
            <w:tcW w:w="3401" w:type="dxa"/>
          </w:tcPr>
          <w:p w:rsidR="001701F3" w:rsidRPr="00B44852" w:rsidRDefault="001701F3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</w:tr>
      <w:tr w:rsidR="001701F3" w:rsidRPr="00B44852" w:rsidTr="00735331">
        <w:tc>
          <w:tcPr>
            <w:tcW w:w="3401" w:type="dxa"/>
          </w:tcPr>
          <w:p w:rsidR="001701F3" w:rsidRPr="00B44852" w:rsidRDefault="001701F3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701F3" w:rsidRPr="00751554" w:rsidRDefault="001701F3" w:rsidP="00906988">
            <w:pPr>
              <w:pStyle w:val="anslagstabell-hgerstlld"/>
              <w:rPr>
                <w:color w:val="FF0000"/>
              </w:rPr>
            </w:pPr>
          </w:p>
        </w:tc>
      </w:tr>
      <w:tr w:rsidR="001701F3" w:rsidRPr="008244FA" w:rsidTr="00B863D9">
        <w:tc>
          <w:tcPr>
            <w:tcW w:w="3401" w:type="dxa"/>
            <w:tcBorders>
              <w:bottom w:val="single" w:sz="4" w:space="0" w:color="auto"/>
            </w:tcBorders>
          </w:tcPr>
          <w:p w:rsidR="001701F3" w:rsidRPr="008244FA" w:rsidRDefault="001701F3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1701F3" w:rsidRPr="001701F3" w:rsidRDefault="001701F3" w:rsidP="001701F3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419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300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701F3" w:rsidRPr="001701F3" w:rsidRDefault="001701F3" w:rsidP="00C66E22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</w:t>
            </w:r>
            <w:r w:rsidR="00C66E2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701F3" w:rsidRPr="001701F3" w:rsidRDefault="001701F3" w:rsidP="00C66E22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 w:rsidR="00C66E2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37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701F3" w:rsidRPr="001701F3" w:rsidRDefault="001701F3" w:rsidP="00C66E22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  <w:r w:rsidR="00C66E2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701F3" w:rsidRPr="001701F3" w:rsidRDefault="001701F3" w:rsidP="00C66E22">
            <w:pPr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</w:t>
            </w:r>
            <w:r w:rsidR="00C66E2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 w:rsidRPr="001701F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1701F3" w:rsidRPr="008244FA" w:rsidTr="00735331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8244FA" w:rsidRDefault="001701F3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91385C" w:rsidRDefault="001701F3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91385C" w:rsidRDefault="001701F3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91385C" w:rsidRDefault="001701F3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91385C" w:rsidRDefault="001701F3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701F3" w:rsidRPr="0091385C" w:rsidRDefault="001701F3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1701F3" w:rsidRPr="00F935F7" w:rsidTr="00735331">
        <w:tc>
          <w:tcPr>
            <w:tcW w:w="3401" w:type="dxa"/>
            <w:tcBorders>
              <w:top w:val="single" w:sz="4" w:space="0" w:color="auto"/>
            </w:tcBorders>
          </w:tcPr>
          <w:p w:rsidR="001701F3" w:rsidRPr="00F935F7" w:rsidRDefault="001701F3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701F3" w:rsidRPr="001701F3" w:rsidRDefault="001701F3" w:rsidP="001C6526">
            <w:pPr>
              <w:pStyle w:val="anslagstabell-hgerstlld"/>
            </w:pPr>
            <w:r>
              <w:t>+33 600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>
              <w:t>+3</w:t>
            </w:r>
            <w:r w:rsidR="00C66E22">
              <w:t>8</w:t>
            </w:r>
            <w:r>
              <w:t xml:space="preserve"> 700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</w:t>
            </w:r>
            <w:r w:rsidR="00C66E22">
              <w:t>47</w:t>
            </w:r>
            <w:r>
              <w:t xml:space="preserve">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</w:t>
            </w:r>
            <w:r w:rsidR="00C66E22">
              <w:t>44</w:t>
            </w:r>
            <w:r w:rsidRPr="001701F3">
              <w:t xml:space="preserve"> </w:t>
            </w:r>
            <w:r>
              <w:t>7</w:t>
            </w:r>
            <w:r w:rsidRPr="001701F3"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+4</w:t>
            </w:r>
            <w:r w:rsidR="00C66E22">
              <w:t>7</w:t>
            </w:r>
            <w:r w:rsidRPr="001701F3">
              <w:t xml:space="preserve"> </w:t>
            </w:r>
            <w:r>
              <w:t>6</w:t>
            </w:r>
            <w:r w:rsidRPr="001701F3">
              <w:t>00</w:t>
            </w:r>
          </w:p>
        </w:tc>
      </w:tr>
      <w:tr w:rsidR="001701F3" w:rsidRPr="00F935F7" w:rsidTr="00735331">
        <w:tc>
          <w:tcPr>
            <w:tcW w:w="3401" w:type="dxa"/>
            <w:tcBorders>
              <w:bottom w:val="single" w:sz="4" w:space="0" w:color="auto"/>
            </w:tcBorders>
          </w:tcPr>
          <w:p w:rsidR="001701F3" w:rsidRPr="00F935F7" w:rsidRDefault="001701F3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701F3" w:rsidRPr="001701F3" w:rsidRDefault="001701F3" w:rsidP="001701F3">
            <w:pPr>
              <w:pStyle w:val="anslagstabell-hgerstlld"/>
            </w:pPr>
            <w:r>
              <w:t>+</w:t>
            </w:r>
            <w:r w:rsidRPr="001701F3">
              <w:t>0,</w:t>
            </w:r>
            <w:r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701F3" w:rsidRPr="001701F3" w:rsidRDefault="001701F3" w:rsidP="001701F3">
            <w:pPr>
              <w:pStyle w:val="anslagstabell-hgerstlld"/>
            </w:pPr>
            <w:r w:rsidRPr="001701F3">
              <w:t>+0,</w:t>
            </w:r>
            <w:r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+0,</w:t>
            </w:r>
            <w:r w:rsidR="00C66E22"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+0,</w:t>
            </w:r>
            <w:r w:rsidR="00C66E22">
              <w:t>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701F3" w:rsidRPr="001701F3" w:rsidRDefault="001701F3" w:rsidP="00C66E22">
            <w:pPr>
              <w:pStyle w:val="anslagstabell-hgerstlld"/>
            </w:pPr>
            <w:r w:rsidRPr="001701F3">
              <w:t>+0,</w:t>
            </w:r>
            <w:r w:rsidR="00C66E22">
              <w:t>4</w:t>
            </w:r>
          </w:p>
        </w:tc>
      </w:tr>
    </w:tbl>
    <w:p w:rsidR="005C58EB" w:rsidRPr="00B44852" w:rsidRDefault="00FF178A" w:rsidP="005C58EB">
      <w:pPr>
        <w:pStyle w:val="Rubrik4"/>
      </w:pPr>
      <w:r>
        <w:t>Volym- och strukturförändringar</w:t>
      </w:r>
    </w:p>
    <w:p w:rsidR="00D52C01" w:rsidRDefault="005C58EB" w:rsidP="005C58EB">
      <w:r w:rsidRPr="0069564F">
        <w:t xml:space="preserve">Utgifterna för garantipension </w:t>
      </w:r>
      <w:r w:rsidR="00FF178A">
        <w:t>beräknas bli något högre jämfört med föregående anslagsuppföljning beroende på något högre retroaktiva utgifter.</w:t>
      </w:r>
      <w:r w:rsidRPr="0069564F">
        <w:t xml:space="preserve"> </w:t>
      </w:r>
    </w:p>
    <w:p w:rsidR="00C66E22" w:rsidRPr="00B44852" w:rsidRDefault="00C66E22" w:rsidP="00C66E22">
      <w:pPr>
        <w:pStyle w:val="Rubrik4"/>
      </w:pPr>
      <w:r>
        <w:t>Ändrade makroekonomiska antaganden</w:t>
      </w:r>
    </w:p>
    <w:p w:rsidR="00C66E22" w:rsidRPr="0069564F" w:rsidRDefault="00C66E22" w:rsidP="00C66E22">
      <w:r w:rsidRPr="0069564F">
        <w:t xml:space="preserve">Utgifterna för garantipension </w:t>
      </w:r>
      <w:r>
        <w:t>beräknas bli något högre jämfört med föregående anslagsuppföljning beroende på något lägre balansindex för åren 2017-2018.</w:t>
      </w:r>
      <w:r w:rsidRPr="0069564F">
        <w:t xml:space="preserve"> </w:t>
      </w:r>
    </w:p>
    <w:p w:rsidR="00C66E22" w:rsidRPr="0069564F" w:rsidRDefault="00C66E22" w:rsidP="005C58EB"/>
    <w:p w:rsidR="00735331" w:rsidRPr="0069564F" w:rsidRDefault="00735331" w:rsidP="005C58EB"/>
    <w:p w:rsidR="005C58EB" w:rsidRPr="00976CD1" w:rsidRDefault="002A1C0C" w:rsidP="005C58EB">
      <w:pPr>
        <w:pStyle w:val="anslagspostrubrik"/>
      </w:pPr>
      <w:bookmarkStart w:id="7" w:name="_Toc221685246"/>
      <w:r>
        <w:lastRenderedPageBreak/>
        <w:t>11.</w:t>
      </w:r>
      <w:r w:rsidR="005C58EB">
        <w:t>1:2</w:t>
      </w:r>
      <w:r w:rsidR="005C58EB">
        <w:tab/>
        <w:t>Efterlevandepensioner till vuxna</w:t>
      </w:r>
      <w:bookmarkEnd w:id="7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A526A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51554">
              <w:rPr>
                <w:b/>
              </w:rPr>
              <w:t>20</w:t>
            </w:r>
          </w:p>
        </w:tc>
      </w:tr>
      <w:tr w:rsidR="00C4699C" w:rsidRPr="008244FA" w:rsidTr="00A526AB">
        <w:tc>
          <w:tcPr>
            <w:tcW w:w="3401" w:type="dxa"/>
            <w:tcBorders>
              <w:top w:val="single" w:sz="4" w:space="0" w:color="auto"/>
            </w:tcBorders>
          </w:tcPr>
          <w:p w:rsidR="00C4699C" w:rsidRPr="008244FA" w:rsidRDefault="00C4699C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C4699C" w:rsidRPr="00C600F6" w:rsidRDefault="00C4699C" w:rsidP="00C600F6">
            <w:pPr>
              <w:pStyle w:val="anslagstabell-hgerstlld"/>
              <w:rPr>
                <w:b/>
              </w:rPr>
            </w:pPr>
            <w:r w:rsidRPr="00C600F6">
              <w:rPr>
                <w:b/>
              </w:rPr>
              <w:t>11 913 400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4699C" w:rsidRPr="00C600F6" w:rsidRDefault="00C4699C" w:rsidP="00C600F6">
            <w:pPr>
              <w:pStyle w:val="anslagstabell-hgerstlld"/>
              <w:rPr>
                <w:b/>
              </w:rPr>
            </w:pPr>
            <w:r w:rsidRPr="00C600F6">
              <w:rPr>
                <w:b/>
              </w:rPr>
              <w:t>11 560 900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4699C" w:rsidRPr="00C600F6" w:rsidRDefault="00C4699C" w:rsidP="00C600F6">
            <w:pPr>
              <w:pStyle w:val="anslagstabell-hgerstlld"/>
              <w:rPr>
                <w:b/>
              </w:rPr>
            </w:pPr>
            <w:r w:rsidRPr="00C600F6">
              <w:rPr>
                <w:b/>
              </w:rPr>
              <w:t>11 152 800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4699C" w:rsidRPr="00C600F6" w:rsidRDefault="00C4699C" w:rsidP="00C4699C">
            <w:pPr>
              <w:pStyle w:val="anslagstabell-hgerstlld"/>
              <w:rPr>
                <w:b/>
              </w:rPr>
            </w:pPr>
            <w:r w:rsidRPr="00C600F6">
              <w:rPr>
                <w:b/>
              </w:rPr>
              <w:t>10 660 600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4699C" w:rsidRPr="00C600F6" w:rsidRDefault="00C4699C" w:rsidP="00C4699C">
            <w:pPr>
              <w:pStyle w:val="anslagstabell-hgerstlld"/>
              <w:rPr>
                <w:b/>
              </w:rPr>
            </w:pPr>
            <w:r w:rsidRPr="00C600F6">
              <w:rPr>
                <w:b/>
              </w:rPr>
              <w:t>10 111 300</w:t>
            </w:r>
          </w:p>
        </w:tc>
      </w:tr>
      <w:tr w:rsidR="00C4699C" w:rsidRPr="00B44852" w:rsidTr="00A526AB">
        <w:tc>
          <w:tcPr>
            <w:tcW w:w="3401" w:type="dxa"/>
          </w:tcPr>
          <w:p w:rsidR="00C4699C" w:rsidRPr="00B44852" w:rsidRDefault="00C4699C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C4699C" w:rsidRPr="00C600F6" w:rsidRDefault="00C4699C" w:rsidP="00906988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600F6" w:rsidRDefault="00C4699C" w:rsidP="00906988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600F6" w:rsidRDefault="00C4699C" w:rsidP="00906988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600F6" w:rsidRDefault="00C4699C" w:rsidP="00906988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600F6" w:rsidRDefault="00C4699C" w:rsidP="00906988">
            <w:pPr>
              <w:pStyle w:val="anslagstabell-hgerstlld"/>
            </w:pPr>
          </w:p>
        </w:tc>
      </w:tr>
      <w:tr w:rsidR="00C4699C" w:rsidRPr="00B44852" w:rsidTr="00A526AB">
        <w:tc>
          <w:tcPr>
            <w:tcW w:w="3401" w:type="dxa"/>
          </w:tcPr>
          <w:p w:rsidR="00C4699C" w:rsidRPr="00B44852" w:rsidRDefault="00C4699C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C4699C" w:rsidRPr="00CA2312" w:rsidRDefault="00C4699C" w:rsidP="00191A50">
            <w:pPr>
              <w:pStyle w:val="anslagstabell-hgerstlld"/>
            </w:pPr>
            <w:r w:rsidRPr="00CA2312">
              <w:t>–</w:t>
            </w:r>
          </w:p>
        </w:tc>
        <w:tc>
          <w:tcPr>
            <w:tcW w:w="1157" w:type="dxa"/>
          </w:tcPr>
          <w:p w:rsidR="00C4699C" w:rsidRPr="00CA2312" w:rsidRDefault="00C4699C" w:rsidP="00C600F6">
            <w:pPr>
              <w:pStyle w:val="anslagstabell-hgerstlld"/>
            </w:pPr>
            <w:proofErr w:type="gramStart"/>
            <w:r w:rsidRPr="00CA2312">
              <w:t>–</w:t>
            </w:r>
            <w:r w:rsidR="00CA2312" w:rsidRPr="00CA2312">
              <w:t>1</w:t>
            </w:r>
            <w:proofErr w:type="gramEnd"/>
            <w:r w:rsidR="00CA2312" w:rsidRPr="00CA2312">
              <w:t xml:space="preserve"> 600</w:t>
            </w:r>
          </w:p>
        </w:tc>
        <w:tc>
          <w:tcPr>
            <w:tcW w:w="1157" w:type="dxa"/>
          </w:tcPr>
          <w:p w:rsidR="00C4699C" w:rsidRPr="00CA2312" w:rsidRDefault="00C4699C" w:rsidP="00CA2312">
            <w:pPr>
              <w:pStyle w:val="anslagstabell-hgerstlld"/>
            </w:pPr>
            <w:proofErr w:type="gramStart"/>
            <w:r w:rsidRPr="00CA2312">
              <w:t>–</w:t>
            </w:r>
            <w:r w:rsidR="00CA2312" w:rsidRPr="00CA2312">
              <w:t>2</w:t>
            </w:r>
            <w:proofErr w:type="gramEnd"/>
            <w:r w:rsidR="00CA2312" w:rsidRPr="00CA2312">
              <w:t xml:space="preserve"> 100</w:t>
            </w:r>
          </w:p>
        </w:tc>
        <w:tc>
          <w:tcPr>
            <w:tcW w:w="1157" w:type="dxa"/>
          </w:tcPr>
          <w:p w:rsidR="00C4699C" w:rsidRPr="00CA2312" w:rsidRDefault="00CA2312" w:rsidP="00CA2312">
            <w:pPr>
              <w:pStyle w:val="anslagstabell-hgerstlld"/>
            </w:pPr>
            <w:r w:rsidRPr="00CA2312">
              <w:t>+100</w:t>
            </w:r>
          </w:p>
        </w:tc>
        <w:tc>
          <w:tcPr>
            <w:tcW w:w="1157" w:type="dxa"/>
          </w:tcPr>
          <w:p w:rsidR="00C4699C" w:rsidRPr="00CA2312" w:rsidRDefault="00C4699C" w:rsidP="00BB7C3A">
            <w:pPr>
              <w:pStyle w:val="anslagstabell-hgerstlld"/>
            </w:pPr>
            <w:r w:rsidRPr="00CA2312">
              <w:t>–</w:t>
            </w:r>
          </w:p>
        </w:tc>
      </w:tr>
      <w:tr w:rsidR="00C4699C" w:rsidRPr="00B44852" w:rsidTr="00A526AB">
        <w:tc>
          <w:tcPr>
            <w:tcW w:w="3401" w:type="dxa"/>
          </w:tcPr>
          <w:p w:rsidR="00C4699C" w:rsidRPr="00B44852" w:rsidRDefault="00C4699C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C4699C" w:rsidRPr="00CA2312" w:rsidRDefault="00C4699C" w:rsidP="00A67542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A67542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A67542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A67542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A67542">
            <w:pPr>
              <w:pStyle w:val="anslagstabell-hgerstlld"/>
            </w:pPr>
          </w:p>
        </w:tc>
      </w:tr>
      <w:tr w:rsidR="00C4699C" w:rsidRPr="00B44852" w:rsidTr="00A526AB">
        <w:tc>
          <w:tcPr>
            <w:tcW w:w="3401" w:type="dxa"/>
          </w:tcPr>
          <w:p w:rsidR="00C4699C" w:rsidRPr="00B44852" w:rsidRDefault="00C4699C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</w:tr>
      <w:tr w:rsidR="00C4699C" w:rsidRPr="00B44852" w:rsidTr="00A526AB">
        <w:tc>
          <w:tcPr>
            <w:tcW w:w="3401" w:type="dxa"/>
          </w:tcPr>
          <w:p w:rsidR="00C4699C" w:rsidRPr="00B44852" w:rsidRDefault="00C4699C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  <w:tc>
          <w:tcPr>
            <w:tcW w:w="1157" w:type="dxa"/>
          </w:tcPr>
          <w:p w:rsidR="00C4699C" w:rsidRPr="00CA2312" w:rsidRDefault="00C4699C" w:rsidP="00B17D94">
            <w:pPr>
              <w:pStyle w:val="anslagstabell-hgerstlld"/>
            </w:pPr>
          </w:p>
        </w:tc>
      </w:tr>
      <w:tr w:rsidR="00C600F6" w:rsidRPr="008244FA" w:rsidTr="00A526AB">
        <w:tc>
          <w:tcPr>
            <w:tcW w:w="3401" w:type="dxa"/>
            <w:tcBorders>
              <w:bottom w:val="single" w:sz="4" w:space="0" w:color="auto"/>
            </w:tcBorders>
          </w:tcPr>
          <w:p w:rsidR="00C600F6" w:rsidRPr="008244FA" w:rsidRDefault="00C600F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C600F6" w:rsidRPr="00CA2312" w:rsidRDefault="00C600F6" w:rsidP="00C600F6">
            <w:pPr>
              <w:pStyle w:val="anslagstabell-hgerstlld"/>
              <w:rPr>
                <w:b/>
              </w:rPr>
            </w:pPr>
            <w:r w:rsidRPr="00CA2312">
              <w:rPr>
                <w:b/>
              </w:rPr>
              <w:t>11 913 400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CA2312">
            <w:pPr>
              <w:pStyle w:val="anslagstabell-hgerstlld"/>
              <w:rPr>
                <w:b/>
              </w:rPr>
            </w:pPr>
            <w:r w:rsidRPr="00CA2312">
              <w:rPr>
                <w:b/>
              </w:rPr>
              <w:t>11 5</w:t>
            </w:r>
            <w:r w:rsidR="00CA2312" w:rsidRPr="00CA2312">
              <w:rPr>
                <w:b/>
              </w:rPr>
              <w:t>59</w:t>
            </w:r>
            <w:r w:rsidRPr="00CA2312">
              <w:rPr>
                <w:b/>
              </w:rPr>
              <w:t xml:space="preserve"> </w:t>
            </w:r>
            <w:r w:rsidR="00CA2312" w:rsidRPr="00CA2312">
              <w:rPr>
                <w:b/>
              </w:rPr>
              <w:t>3</w:t>
            </w:r>
            <w:r w:rsidRPr="00CA2312">
              <w:rPr>
                <w:b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CA2312">
            <w:pPr>
              <w:pStyle w:val="anslagstabell-hgerstlld"/>
              <w:rPr>
                <w:b/>
              </w:rPr>
            </w:pPr>
            <w:r w:rsidRPr="00CA2312">
              <w:rPr>
                <w:b/>
              </w:rPr>
              <w:t>11 15</w:t>
            </w:r>
            <w:r w:rsidR="00CA2312" w:rsidRPr="00CA2312">
              <w:rPr>
                <w:b/>
              </w:rPr>
              <w:t>0</w:t>
            </w:r>
            <w:r w:rsidRPr="00CA2312">
              <w:rPr>
                <w:b/>
              </w:rPr>
              <w:t xml:space="preserve"> </w:t>
            </w:r>
            <w:r w:rsidR="00CA2312" w:rsidRPr="00CA2312">
              <w:rPr>
                <w:b/>
              </w:rPr>
              <w:t>7</w:t>
            </w:r>
            <w:r w:rsidRPr="00CA2312">
              <w:rPr>
                <w:b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CA2312">
            <w:pPr>
              <w:pStyle w:val="anslagstabell-hgerstlld"/>
              <w:rPr>
                <w:b/>
              </w:rPr>
            </w:pPr>
            <w:r w:rsidRPr="00CA2312">
              <w:rPr>
                <w:b/>
              </w:rPr>
              <w:t xml:space="preserve">10 660 </w:t>
            </w:r>
            <w:r w:rsidR="00CA2312" w:rsidRPr="00CA2312">
              <w:rPr>
                <w:b/>
              </w:rPr>
              <w:t>7</w:t>
            </w:r>
            <w:r w:rsidRPr="00CA2312">
              <w:rPr>
                <w:b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C600F6">
            <w:pPr>
              <w:pStyle w:val="anslagstabell-hgerstlld"/>
              <w:rPr>
                <w:b/>
              </w:rPr>
            </w:pPr>
            <w:r w:rsidRPr="00CA2312">
              <w:rPr>
                <w:b/>
              </w:rPr>
              <w:t>10 111 300</w:t>
            </w:r>
          </w:p>
        </w:tc>
      </w:tr>
      <w:tr w:rsidR="00C600F6" w:rsidRPr="008244FA" w:rsidTr="00A526A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8244FA" w:rsidRDefault="00C600F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C600F6" w:rsidRPr="00F935F7" w:rsidTr="00A526AB">
        <w:tc>
          <w:tcPr>
            <w:tcW w:w="3401" w:type="dxa"/>
            <w:tcBorders>
              <w:top w:val="single" w:sz="4" w:space="0" w:color="auto"/>
            </w:tcBorders>
          </w:tcPr>
          <w:p w:rsidR="00C600F6" w:rsidRPr="00F935F7" w:rsidRDefault="00C600F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C600F6" w:rsidRPr="00CA2312" w:rsidRDefault="00C600F6" w:rsidP="007B6C56">
            <w:pPr>
              <w:pStyle w:val="anslagstabell-hgerstlld"/>
            </w:pPr>
            <w:r w:rsidRPr="00CA231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600F6" w:rsidRPr="00CA2312" w:rsidRDefault="00CA2312" w:rsidP="00CA2312">
            <w:pPr>
              <w:pStyle w:val="anslagstabell-hgerstlld"/>
            </w:pPr>
            <w:proofErr w:type="gramStart"/>
            <w:r w:rsidRPr="00CA2312">
              <w:t>–1</w:t>
            </w:r>
            <w:proofErr w:type="gramEnd"/>
            <w:r w:rsidRPr="00CA2312">
              <w:t xml:space="preserve">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600F6" w:rsidRPr="00CA2312" w:rsidRDefault="00CA2312" w:rsidP="009E0902">
            <w:pPr>
              <w:pStyle w:val="anslagstabell-hgerstlld"/>
            </w:pPr>
            <w:proofErr w:type="gramStart"/>
            <w:r w:rsidRPr="00CA2312">
              <w:t>–2</w:t>
            </w:r>
            <w:proofErr w:type="gramEnd"/>
            <w:r w:rsidRPr="00CA2312">
              <w:t xml:space="preserve"> 10</w:t>
            </w:r>
            <w:r w:rsidR="00C600F6" w:rsidRPr="00CA231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600F6" w:rsidRPr="00CA2312" w:rsidRDefault="00CA2312" w:rsidP="00CA2312">
            <w:pPr>
              <w:pStyle w:val="anslagstabell-hgerstlld"/>
            </w:pPr>
            <w:r w:rsidRPr="00CA2312">
              <w:t>+10</w:t>
            </w:r>
            <w:r w:rsidR="00C600F6" w:rsidRPr="00CA2312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600F6" w:rsidRPr="00CA2312" w:rsidRDefault="00C600F6" w:rsidP="009E0902">
            <w:pPr>
              <w:pStyle w:val="anslagstabell-hgerstlld"/>
            </w:pPr>
            <w:r w:rsidRPr="00CA2312">
              <w:t>0</w:t>
            </w:r>
          </w:p>
        </w:tc>
      </w:tr>
      <w:tr w:rsidR="00C600F6" w:rsidRPr="00F935F7" w:rsidTr="00A526AB">
        <w:tc>
          <w:tcPr>
            <w:tcW w:w="3401" w:type="dxa"/>
            <w:tcBorders>
              <w:bottom w:val="single" w:sz="4" w:space="0" w:color="auto"/>
            </w:tcBorders>
          </w:tcPr>
          <w:p w:rsidR="00C600F6" w:rsidRPr="00F935F7" w:rsidRDefault="00C600F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C600F6" w:rsidRPr="00CA2312" w:rsidRDefault="00C600F6" w:rsidP="00906988">
            <w:pPr>
              <w:pStyle w:val="anslagstabell-hgerstlld"/>
            </w:pPr>
            <w:r w:rsidRPr="00CA231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C600F6">
            <w:pPr>
              <w:pStyle w:val="anslagstabell-hgerstlld"/>
            </w:pPr>
            <w:r w:rsidRPr="00CA231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8F0515">
            <w:pPr>
              <w:pStyle w:val="anslagstabell-hgerstlld"/>
            </w:pPr>
            <w:r w:rsidRPr="00CA231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E51878">
            <w:pPr>
              <w:pStyle w:val="anslagstabell-hgerstlld"/>
            </w:pPr>
            <w:r w:rsidRPr="00CA2312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C600F6" w:rsidRPr="00CA2312" w:rsidRDefault="00C600F6" w:rsidP="008F0515">
            <w:pPr>
              <w:pStyle w:val="anslagstabell-hgerstlld"/>
            </w:pPr>
            <w:r w:rsidRPr="00CA2312">
              <w:t>0,0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5C58EB" w:rsidRPr="00C600F6" w:rsidRDefault="00C0368C" w:rsidP="005C58EB">
      <w:pPr>
        <w:rPr>
          <w:color w:val="C00000"/>
        </w:rPr>
      </w:pPr>
      <w:r>
        <w:t xml:space="preserve">Utgiftsprognosen har sänkts något 2017 och 2018 på grund av den ändrade prognosen för balansindex. </w:t>
      </w:r>
      <w:r w:rsidR="004B6CC8" w:rsidRPr="00CA2312">
        <w:t>B</w:t>
      </w:r>
      <w:r w:rsidR="00D06B98" w:rsidRPr="00CA2312">
        <w:t xml:space="preserve">alansindex </w:t>
      </w:r>
      <w:r w:rsidR="00A526AB" w:rsidRPr="00CA2312">
        <w:t>påverkar vissa änkepensioner.</w:t>
      </w:r>
    </w:p>
    <w:p w:rsidR="005C58EB" w:rsidRPr="00976CD1" w:rsidRDefault="002A1C0C" w:rsidP="005C58EB">
      <w:pPr>
        <w:pStyle w:val="anslagspostrubrik"/>
      </w:pPr>
      <w:bookmarkStart w:id="8" w:name="_Toc221685247"/>
      <w:r>
        <w:t>1</w:t>
      </w:r>
      <w:r w:rsidR="005C58EB">
        <w:t>1</w:t>
      </w:r>
      <w:r>
        <w:t>.1</w:t>
      </w:r>
      <w:r w:rsidR="005C58EB">
        <w:t>:3</w:t>
      </w:r>
      <w:r w:rsidR="005C58EB">
        <w:tab/>
        <w:t>Bostadstillägg till pensionärer</w:t>
      </w:r>
      <w:bookmarkEnd w:id="8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8F6A57" w:rsidRPr="00B44852" w:rsidTr="005236D8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B44852" w:rsidRDefault="008F6A57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751554" w:rsidRDefault="008F6A57" w:rsidP="008F6A5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751554" w:rsidRDefault="008F6A57" w:rsidP="008F6A5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751554" w:rsidRDefault="008F6A57" w:rsidP="008F6A5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751554" w:rsidRDefault="008F6A57" w:rsidP="008F6A5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F6A57" w:rsidRPr="00751554" w:rsidRDefault="008F6A57" w:rsidP="008F6A5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2020</w:t>
            </w:r>
          </w:p>
        </w:tc>
      </w:tr>
      <w:tr w:rsidR="008F6A57" w:rsidRPr="008244FA" w:rsidTr="008F6A57">
        <w:tc>
          <w:tcPr>
            <w:tcW w:w="3401" w:type="dxa"/>
            <w:tcBorders>
              <w:top w:val="single" w:sz="4" w:space="0" w:color="auto"/>
            </w:tcBorders>
          </w:tcPr>
          <w:p w:rsidR="008F6A57" w:rsidRPr="008244FA" w:rsidRDefault="008F6A57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8F6A57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8 337 200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8F6A57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8 079 500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8F6A57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7 851 400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8F6A57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7 753 700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8F6A57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7 703 100</w:t>
            </w: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8F6A57" w:rsidRDefault="0039451E" w:rsidP="00906988">
            <w:pPr>
              <w:pStyle w:val="anslagstabell-hgerstlld"/>
            </w:pPr>
            <w:r>
              <w:t>+3 500</w:t>
            </w:r>
          </w:p>
        </w:tc>
        <w:tc>
          <w:tcPr>
            <w:tcW w:w="1157" w:type="dxa"/>
          </w:tcPr>
          <w:p w:rsidR="00857DDB" w:rsidRPr="00751554" w:rsidRDefault="0039451E" w:rsidP="00906988">
            <w:pPr>
              <w:pStyle w:val="anslagstabell-hgerstlld"/>
              <w:rPr>
                <w:color w:val="FF0000"/>
              </w:rPr>
            </w:pPr>
            <w:r w:rsidRPr="0039451E">
              <w:t>+4 800</w:t>
            </w: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857DDB" w:rsidRPr="008A480A" w:rsidRDefault="008A480A" w:rsidP="0082214B">
            <w:pPr>
              <w:pStyle w:val="anslagstabell-hgerstlld"/>
            </w:pPr>
            <w:r w:rsidRPr="008A480A">
              <w:t>+74 100</w:t>
            </w:r>
          </w:p>
        </w:tc>
        <w:tc>
          <w:tcPr>
            <w:tcW w:w="1157" w:type="dxa"/>
          </w:tcPr>
          <w:p w:rsidR="00857DDB" w:rsidRPr="008A480A" w:rsidRDefault="008A480A" w:rsidP="00906988">
            <w:pPr>
              <w:pStyle w:val="anslagstabell-hgerstlld"/>
            </w:pPr>
            <w:r w:rsidRPr="008A480A">
              <w:t>+165 600</w:t>
            </w:r>
          </w:p>
        </w:tc>
        <w:tc>
          <w:tcPr>
            <w:tcW w:w="1157" w:type="dxa"/>
          </w:tcPr>
          <w:p w:rsidR="00857DDB" w:rsidRPr="008A480A" w:rsidRDefault="008A480A" w:rsidP="00906988">
            <w:pPr>
              <w:pStyle w:val="anslagstabell-hgerstlld"/>
            </w:pPr>
            <w:r w:rsidRPr="008A480A">
              <w:t>+253 100</w:t>
            </w:r>
          </w:p>
        </w:tc>
        <w:tc>
          <w:tcPr>
            <w:tcW w:w="1157" w:type="dxa"/>
          </w:tcPr>
          <w:p w:rsidR="00857DDB" w:rsidRPr="008A480A" w:rsidRDefault="008A480A" w:rsidP="00906988">
            <w:pPr>
              <w:pStyle w:val="anslagstabell-hgerstlld"/>
            </w:pPr>
            <w:r w:rsidRPr="008A480A">
              <w:t>+338 800</w:t>
            </w:r>
          </w:p>
        </w:tc>
        <w:tc>
          <w:tcPr>
            <w:tcW w:w="1157" w:type="dxa"/>
          </w:tcPr>
          <w:p w:rsidR="00857DDB" w:rsidRPr="008A480A" w:rsidRDefault="008A480A" w:rsidP="00906988">
            <w:pPr>
              <w:pStyle w:val="anslagstabell-hgerstlld"/>
            </w:pPr>
            <w:r w:rsidRPr="008A480A">
              <w:t>+432 400</w:t>
            </w: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</w:tr>
      <w:tr w:rsidR="00857DDB" w:rsidRPr="00B44852" w:rsidTr="005236D8">
        <w:tc>
          <w:tcPr>
            <w:tcW w:w="3401" w:type="dxa"/>
          </w:tcPr>
          <w:p w:rsidR="00857DDB" w:rsidRPr="00B44852" w:rsidRDefault="00857DDB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857DDB" w:rsidRPr="00751554" w:rsidRDefault="00857DDB" w:rsidP="00906988">
            <w:pPr>
              <w:pStyle w:val="anslagstabell-hgerstlld"/>
              <w:rPr>
                <w:color w:val="FF0000"/>
              </w:rPr>
            </w:pPr>
          </w:p>
        </w:tc>
      </w:tr>
      <w:tr w:rsidR="00857DDB" w:rsidRPr="008244FA" w:rsidTr="001C6526">
        <w:tc>
          <w:tcPr>
            <w:tcW w:w="3401" w:type="dxa"/>
            <w:tcBorders>
              <w:bottom w:val="single" w:sz="4" w:space="0" w:color="auto"/>
            </w:tcBorders>
          </w:tcPr>
          <w:p w:rsidR="00857DDB" w:rsidRPr="008244FA" w:rsidRDefault="00857DDB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857DDB" w:rsidRPr="008F6A57" w:rsidRDefault="00857DDB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</w:t>
            </w:r>
            <w:r w:rsidR="008F6A57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411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300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857DDB" w:rsidRPr="008F6A57" w:rsidRDefault="00857DDB" w:rsidP="0039451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8 </w:t>
            </w:r>
            <w:r w:rsidR="008F6A57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</w:t>
            </w:r>
            <w:r w:rsidR="003945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3945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39451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  <w:r w:rsidR="003945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39451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092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8F6A57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="00B77E55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 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135</w:t>
            </w:r>
            <w:r w:rsidR="00B77E55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="00857DDB" w:rsidRPr="008F6A5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857DDB" w:rsidRPr="008244FA" w:rsidTr="005236D8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244FA" w:rsidRDefault="00857DDB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857DDB" w:rsidRPr="00876C7C" w:rsidRDefault="00857DDB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857DDB" w:rsidRPr="00F935F7" w:rsidTr="005236D8">
        <w:tc>
          <w:tcPr>
            <w:tcW w:w="3401" w:type="dxa"/>
            <w:tcBorders>
              <w:top w:val="single" w:sz="4" w:space="0" w:color="auto"/>
            </w:tcBorders>
          </w:tcPr>
          <w:p w:rsidR="00857DDB" w:rsidRPr="00F935F7" w:rsidRDefault="00857DDB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857DDB" w:rsidRPr="008F6A57" w:rsidRDefault="008F6A57" w:rsidP="00C6568A">
            <w:pPr>
              <w:pStyle w:val="anslagstabell-hgerstlld"/>
            </w:pPr>
            <w:r>
              <w:t>+74 100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8F6A57" w:rsidRDefault="008F6A57" w:rsidP="0039451E">
            <w:pPr>
              <w:pStyle w:val="anslagstabell-hgerstlld"/>
            </w:pPr>
            <w:r>
              <w:t>+16</w:t>
            </w:r>
            <w:r w:rsidR="0039451E">
              <w:t>9</w:t>
            </w:r>
            <w:r>
              <w:t xml:space="preserve"> </w:t>
            </w:r>
            <w:r w:rsidR="0039451E">
              <w:t>1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8F6A57" w:rsidRDefault="008F6A57" w:rsidP="0039451E">
            <w:pPr>
              <w:pStyle w:val="anslagstabell-hgerstlld"/>
            </w:pPr>
            <w:r>
              <w:t>+25</w:t>
            </w:r>
            <w:r w:rsidR="0039451E">
              <w:t>7</w:t>
            </w:r>
            <w:r>
              <w:t xml:space="preserve"> </w:t>
            </w:r>
            <w:r w:rsidR="0039451E">
              <w:t>9</w:t>
            </w:r>
            <w: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8F6A57" w:rsidRDefault="008F6A57" w:rsidP="001C6526">
            <w:pPr>
              <w:pStyle w:val="anslagstabell-hgerstlld"/>
            </w:pPr>
            <w:r>
              <w:t>+338 800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7DDB" w:rsidRPr="008F6A57" w:rsidRDefault="008F6A57" w:rsidP="001C6526">
            <w:pPr>
              <w:pStyle w:val="anslagstabell-hgerstlld"/>
            </w:pPr>
            <w:r>
              <w:t>+432 400</w:t>
            </w:r>
          </w:p>
        </w:tc>
      </w:tr>
      <w:tr w:rsidR="00857DDB" w:rsidRPr="00F935F7" w:rsidTr="005236D8">
        <w:tc>
          <w:tcPr>
            <w:tcW w:w="3401" w:type="dxa"/>
            <w:tcBorders>
              <w:bottom w:val="single" w:sz="4" w:space="0" w:color="auto"/>
            </w:tcBorders>
          </w:tcPr>
          <w:p w:rsidR="00857DDB" w:rsidRPr="00F935F7" w:rsidRDefault="00857DDB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857DDB" w:rsidRPr="008F6A57" w:rsidRDefault="008F6A57" w:rsidP="00C6568A">
            <w:pPr>
              <w:pStyle w:val="anslagstabell-hgerstlld"/>
              <w:tabs>
                <w:tab w:val="left" w:pos="1005"/>
              </w:tabs>
            </w:pPr>
            <w:r>
              <w:t>+0,9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39451E">
            <w:pPr>
              <w:pStyle w:val="anslagstabell-hgerstlld"/>
              <w:tabs>
                <w:tab w:val="left" w:pos="1005"/>
              </w:tabs>
            </w:pPr>
            <w:r>
              <w:t>+2,</w:t>
            </w:r>
            <w:r w:rsidR="0039451E"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39451E">
            <w:pPr>
              <w:pStyle w:val="anslagstabell-hgerstlld"/>
              <w:tabs>
                <w:tab w:val="left" w:pos="1005"/>
              </w:tabs>
            </w:pPr>
            <w:r>
              <w:t>+3,</w:t>
            </w:r>
            <w:r w:rsidR="0039451E">
              <w:t>3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1C6526">
            <w:pPr>
              <w:pStyle w:val="anslagstabell-hgerstlld"/>
              <w:tabs>
                <w:tab w:val="left" w:pos="1005"/>
              </w:tabs>
            </w:pPr>
            <w:r>
              <w:t>+4,4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7DDB" w:rsidRPr="008F6A57" w:rsidRDefault="008F6A57" w:rsidP="001C6526">
            <w:pPr>
              <w:pStyle w:val="anslagstabell-hgerstlld"/>
              <w:tabs>
                <w:tab w:val="left" w:pos="1005"/>
              </w:tabs>
            </w:pPr>
            <w:r>
              <w:t>+5,6</w:t>
            </w:r>
          </w:p>
        </w:tc>
      </w:tr>
    </w:tbl>
    <w:p w:rsidR="005C58EB" w:rsidRPr="00B44852" w:rsidRDefault="008A480A" w:rsidP="005C58EB">
      <w:pPr>
        <w:pStyle w:val="Rubrik4"/>
      </w:pPr>
      <w:r>
        <w:t>Volym- och strukturförändringar</w:t>
      </w:r>
    </w:p>
    <w:p w:rsidR="00892539" w:rsidRDefault="008A480A" w:rsidP="00892539">
      <w:pPr>
        <w:rPr>
          <w:snapToGrid w:val="0"/>
        </w:rPr>
      </w:pPr>
      <w:r>
        <w:rPr>
          <w:snapToGrid w:val="0"/>
        </w:rPr>
        <w:t xml:space="preserve">Utgiftsprognosen är höjd jämfört med föregående anslagsuppföljning eftersom antalet förmånstagare beräknas bli högre. Det är fler som beräknas </w:t>
      </w:r>
      <w:r w:rsidR="000800C3">
        <w:rPr>
          <w:snapToGrid w:val="0"/>
        </w:rPr>
        <w:t>få</w:t>
      </w:r>
      <w:r>
        <w:rPr>
          <w:snapToGrid w:val="0"/>
        </w:rPr>
        <w:t xml:space="preserve"> bostadstillägg än tidig</w:t>
      </w:r>
      <w:r w:rsidR="00E968A2">
        <w:rPr>
          <w:snapToGrid w:val="0"/>
        </w:rPr>
        <w:t xml:space="preserve">are. Antalet ålderpensionärer ökar och </w:t>
      </w:r>
      <w:r w:rsidR="001F7453">
        <w:rPr>
          <w:snapToGrid w:val="0"/>
        </w:rPr>
        <w:t xml:space="preserve">det har en höjande effekt på antalet. </w:t>
      </w:r>
      <w:r w:rsidR="00E968A2">
        <w:rPr>
          <w:snapToGrid w:val="0"/>
        </w:rPr>
        <w:t xml:space="preserve">Antalet utrikesfödda över 65 år ökar i antal och flera av dessa antas ha låga pensioner. Tidigare </w:t>
      </w:r>
      <w:r w:rsidR="002B0E6C">
        <w:rPr>
          <w:snapToGrid w:val="0"/>
        </w:rPr>
        <w:t>regelförändringar</w:t>
      </w:r>
      <w:r w:rsidR="00E968A2">
        <w:rPr>
          <w:snapToGrid w:val="0"/>
        </w:rPr>
        <w:t xml:space="preserve"> av bo</w:t>
      </w:r>
      <w:r w:rsidR="002B0E6C">
        <w:rPr>
          <w:snapToGrid w:val="0"/>
        </w:rPr>
        <w:t xml:space="preserve">stadstillägget bidrar också på sikt att antalet förmånstagare blir något fler. </w:t>
      </w:r>
    </w:p>
    <w:p w:rsidR="0039451E" w:rsidRPr="00B44852" w:rsidRDefault="0039451E" w:rsidP="0039451E">
      <w:pPr>
        <w:pStyle w:val="Rubrik4"/>
      </w:pPr>
      <w:r>
        <w:t>Ändrade makroekonomiska antaganden</w:t>
      </w:r>
    </w:p>
    <w:p w:rsidR="0039451E" w:rsidRPr="00430738" w:rsidRDefault="0039451E" w:rsidP="0039451E">
      <w:pPr>
        <w:rPr>
          <w:snapToGrid w:val="0"/>
        </w:rPr>
      </w:pPr>
      <w:r>
        <w:rPr>
          <w:snapToGrid w:val="0"/>
        </w:rPr>
        <w:t>Utgiftsprognosen är höjd för åren 2017-2018 jämfört med föregående anslagsuppföljning eftersom balansindex är sänkt för dessa år.</w:t>
      </w:r>
      <w:r w:rsidR="000D7FC4">
        <w:rPr>
          <w:snapToGrid w:val="0"/>
        </w:rPr>
        <w:t xml:space="preserve"> När balansindex blir lägre minskar den bidragsgrundande inkomsten och det har en höjande effekt på bostadstillägget.</w:t>
      </w:r>
    </w:p>
    <w:p w:rsidR="00892539" w:rsidRPr="00430738" w:rsidRDefault="00892539" w:rsidP="00892539">
      <w:pPr>
        <w:rPr>
          <w:snapToGrid w:val="0"/>
        </w:rPr>
      </w:pPr>
    </w:p>
    <w:p w:rsidR="005C58EB" w:rsidRPr="00976CD1" w:rsidRDefault="002A1C0C" w:rsidP="005C58EB">
      <w:pPr>
        <w:pStyle w:val="anslagspostrubrik"/>
      </w:pPr>
      <w:bookmarkStart w:id="9" w:name="_Toc221685248"/>
      <w:r>
        <w:t>1.1</w:t>
      </w:r>
      <w:r w:rsidR="005C58EB">
        <w:t>:4</w:t>
      </w:r>
      <w:r w:rsidR="005C58EB">
        <w:tab/>
        <w:t>Äldreförsörjningsstöd</w:t>
      </w:r>
      <w:bookmarkEnd w:id="9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D940DA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51554" w:rsidRDefault="00330896" w:rsidP="00751554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</w:t>
            </w:r>
            <w:r w:rsidR="00751554" w:rsidRPr="00751554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51554" w:rsidRDefault="00330896" w:rsidP="00751554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</w:t>
            </w:r>
            <w:r w:rsidR="00751554" w:rsidRPr="00751554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51554" w:rsidRDefault="00330896" w:rsidP="00751554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</w:t>
            </w:r>
            <w:r w:rsidR="00751554" w:rsidRPr="00751554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51554" w:rsidRDefault="00330896" w:rsidP="00751554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</w:t>
            </w:r>
            <w:r w:rsidR="00751554" w:rsidRPr="00751554">
              <w:rPr>
                <w:b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751554" w:rsidRDefault="00330896" w:rsidP="00751554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</w:t>
            </w:r>
            <w:r w:rsidR="00751554" w:rsidRPr="00751554">
              <w:rPr>
                <w:b/>
              </w:rPr>
              <w:t>20</w:t>
            </w:r>
          </w:p>
        </w:tc>
      </w:tr>
      <w:tr w:rsidR="00C74EED" w:rsidRPr="008244FA" w:rsidTr="00C74EED">
        <w:tc>
          <w:tcPr>
            <w:tcW w:w="3401" w:type="dxa"/>
            <w:tcBorders>
              <w:top w:val="single" w:sz="4" w:space="0" w:color="auto"/>
            </w:tcBorders>
          </w:tcPr>
          <w:p w:rsidR="00C74EED" w:rsidRPr="008244FA" w:rsidRDefault="00C74EED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C74EED" w:rsidRPr="001174A5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887 200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C74EED" w:rsidRPr="001174A5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967 800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C74EED" w:rsidRPr="001174A5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1 048 300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C74EED" w:rsidRPr="001174A5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1 124 100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C74EED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1 202 600</w:t>
            </w: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157936" w:rsidRPr="00070D54" w:rsidRDefault="00070D54" w:rsidP="0046257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5 200</w:t>
            </w:r>
          </w:p>
        </w:tc>
        <w:tc>
          <w:tcPr>
            <w:tcW w:w="1157" w:type="dxa"/>
          </w:tcPr>
          <w:p w:rsidR="00157936" w:rsidRPr="00070D54" w:rsidRDefault="00070D54" w:rsidP="0046257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5 400</w:t>
            </w:r>
          </w:p>
        </w:tc>
        <w:tc>
          <w:tcPr>
            <w:tcW w:w="1157" w:type="dxa"/>
          </w:tcPr>
          <w:p w:rsidR="00157936" w:rsidRPr="00070D54" w:rsidRDefault="00070D54" w:rsidP="0046257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5 500</w:t>
            </w:r>
          </w:p>
        </w:tc>
        <w:tc>
          <w:tcPr>
            <w:tcW w:w="1157" w:type="dxa"/>
          </w:tcPr>
          <w:p w:rsidR="00157936" w:rsidRPr="00070D54" w:rsidRDefault="00070D54" w:rsidP="0046257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5 600</w:t>
            </w:r>
          </w:p>
        </w:tc>
        <w:tc>
          <w:tcPr>
            <w:tcW w:w="1157" w:type="dxa"/>
          </w:tcPr>
          <w:p w:rsidR="00157936" w:rsidRPr="00070D54" w:rsidRDefault="00070D54" w:rsidP="0046257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5 700</w:t>
            </w: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  <w:tc>
          <w:tcPr>
            <w:tcW w:w="1157" w:type="dxa"/>
          </w:tcPr>
          <w:p w:rsidR="00157936" w:rsidRPr="00751554" w:rsidRDefault="00157936" w:rsidP="00906988">
            <w:pPr>
              <w:pStyle w:val="anslagstabell-hgerstlld"/>
              <w:rPr>
                <w:color w:val="FF0000"/>
              </w:rPr>
            </w:pPr>
          </w:p>
        </w:tc>
      </w:tr>
      <w:tr w:rsidR="00157936" w:rsidRPr="00B44852" w:rsidTr="00D940DA">
        <w:tc>
          <w:tcPr>
            <w:tcW w:w="3401" w:type="dxa"/>
          </w:tcPr>
          <w:p w:rsidR="00157936" w:rsidRPr="00B44852" w:rsidRDefault="00157936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157936" w:rsidRPr="00070D5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070D5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070D5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070D54" w:rsidRDefault="0015793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57936" w:rsidRPr="00070D54" w:rsidRDefault="00157936" w:rsidP="00906988">
            <w:pPr>
              <w:pStyle w:val="anslagstabell-hgerstlld"/>
            </w:pPr>
          </w:p>
        </w:tc>
      </w:tr>
      <w:tr w:rsidR="00157936" w:rsidRPr="008244FA" w:rsidTr="00B822A7">
        <w:tc>
          <w:tcPr>
            <w:tcW w:w="3401" w:type="dxa"/>
            <w:tcBorders>
              <w:bottom w:val="single" w:sz="4" w:space="0" w:color="auto"/>
            </w:tcBorders>
          </w:tcPr>
          <w:p w:rsidR="00157936" w:rsidRPr="008244FA" w:rsidRDefault="0015793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157936" w:rsidRPr="00070D54" w:rsidRDefault="00157936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="00C74EED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82 000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070D54" w:rsidRDefault="00C74EED" w:rsidP="001C6526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962 400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070D54" w:rsidRDefault="00C74EED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1 042</w:t>
            </w:r>
            <w:r w:rsidR="00157936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="00157936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070D54" w:rsidRDefault="00157936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</w:t>
            </w:r>
            <w:r w:rsidR="00C74EED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118</w:t>
            </w: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C74EED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157936" w:rsidRPr="00070D54" w:rsidRDefault="00157936" w:rsidP="00C74EED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1 </w:t>
            </w:r>
            <w:r w:rsidR="00C74EED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196</w:t>
            </w: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C74EED"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  <w:r w:rsidRPr="00070D5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157936" w:rsidRPr="008244FA" w:rsidTr="00D940DA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8244FA" w:rsidRDefault="0015793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57936" w:rsidRPr="00470D24" w:rsidRDefault="0015793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157936" w:rsidRPr="00F935F7" w:rsidTr="00D940DA">
        <w:tc>
          <w:tcPr>
            <w:tcW w:w="3401" w:type="dxa"/>
            <w:tcBorders>
              <w:top w:val="single" w:sz="4" w:space="0" w:color="auto"/>
            </w:tcBorders>
          </w:tcPr>
          <w:p w:rsidR="00157936" w:rsidRPr="00F935F7" w:rsidRDefault="0015793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157936" w:rsidRPr="00070D54" w:rsidRDefault="00070D54" w:rsidP="00D80CA5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5 200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070D54" w:rsidRDefault="00070D54" w:rsidP="00D80CA5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5 400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070D54" w:rsidRDefault="00070D54" w:rsidP="00D80CA5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5 500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070D54" w:rsidRDefault="00070D54" w:rsidP="00D80CA5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157936" w:rsidRPr="00070D54" w:rsidRDefault="00070D54" w:rsidP="00070D54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5 700</w:t>
            </w:r>
          </w:p>
        </w:tc>
      </w:tr>
      <w:tr w:rsidR="00157936" w:rsidRPr="00F935F7" w:rsidTr="00D940DA">
        <w:tc>
          <w:tcPr>
            <w:tcW w:w="3401" w:type="dxa"/>
            <w:tcBorders>
              <w:bottom w:val="single" w:sz="4" w:space="0" w:color="auto"/>
            </w:tcBorders>
          </w:tcPr>
          <w:p w:rsidR="00157936" w:rsidRPr="00F935F7" w:rsidRDefault="0015793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157936" w:rsidRPr="00070D54" w:rsidRDefault="00070D54" w:rsidP="00D940DA">
            <w:pPr>
              <w:pStyle w:val="anslagstabell-hgerstlld"/>
              <w:tabs>
                <w:tab w:val="left" w:pos="1005"/>
              </w:tabs>
            </w:pPr>
            <w:proofErr w:type="gramStart"/>
            <w:r w:rsidRPr="00070D54">
              <w:t>-</w:t>
            </w:r>
            <w:proofErr w:type="gramEnd"/>
            <w:r w:rsidRPr="00070D54">
              <w:t>0,6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070D54" w:rsidRDefault="00070D54" w:rsidP="0090698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0,6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070D54" w:rsidRDefault="00070D54" w:rsidP="0090698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0,5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070D54" w:rsidRDefault="00070D54" w:rsidP="0090698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0,5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57936" w:rsidRPr="00070D54" w:rsidRDefault="00070D54" w:rsidP="00906988">
            <w:pPr>
              <w:pStyle w:val="anslagstabell-hgerstlld"/>
            </w:pPr>
            <w:proofErr w:type="gramStart"/>
            <w:r w:rsidRPr="00070D54">
              <w:t>-</w:t>
            </w:r>
            <w:proofErr w:type="gramEnd"/>
            <w:r w:rsidRPr="00070D54">
              <w:t>0,5</w:t>
            </w:r>
          </w:p>
        </w:tc>
      </w:tr>
    </w:tbl>
    <w:p w:rsidR="00D40974" w:rsidRDefault="00D40974" w:rsidP="00A62E49"/>
    <w:p w:rsidR="00070D54" w:rsidRPr="00B44852" w:rsidRDefault="00070D54" w:rsidP="00070D54">
      <w:pPr>
        <w:pStyle w:val="Rubrik4"/>
      </w:pPr>
      <w:r>
        <w:t>Volym- och strukturförändringar</w:t>
      </w:r>
    </w:p>
    <w:p w:rsidR="00070D54" w:rsidRPr="00430738" w:rsidRDefault="00070D54" w:rsidP="00070D54">
      <w:pPr>
        <w:rPr>
          <w:snapToGrid w:val="0"/>
        </w:rPr>
      </w:pPr>
      <w:r>
        <w:rPr>
          <w:snapToGrid w:val="0"/>
        </w:rPr>
        <w:t>Utgiftsprognosen har sänkts jämfört med föregående anslagsuppföljning. Antalet förmånstagare beräknas bli något lägre jämfört med föregående prognos. Statistik för januari tyder på ett något lägre medelantal.</w:t>
      </w:r>
    </w:p>
    <w:p w:rsidR="00070D54" w:rsidRDefault="00070D54" w:rsidP="00A62E49"/>
    <w:p w:rsidR="00B13956" w:rsidRPr="00976CD1" w:rsidRDefault="00B13956" w:rsidP="00B13956">
      <w:pPr>
        <w:pStyle w:val="anslagspostrubrik"/>
      </w:pPr>
      <w:r>
        <w:t>11.2:1</w:t>
      </w:r>
      <w:r>
        <w:tab/>
        <w:t>Pensionsmyndigheten</w:t>
      </w:r>
      <w:bookmarkStart w:id="10" w:name="_GoBack"/>
      <w:bookmarkEnd w:id="10"/>
    </w:p>
    <w:p w:rsidR="00B13956" w:rsidRDefault="00B13956" w:rsidP="00B13956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B13956" w:rsidRDefault="00B13956" w:rsidP="00B13956">
      <w:pPr>
        <w:keepNext/>
      </w:pPr>
    </w:p>
    <w:p w:rsidR="00B13956" w:rsidRPr="00A01D93" w:rsidRDefault="00B13956" w:rsidP="00B13956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D65D30" w:rsidRPr="00B44852" w:rsidTr="00C6648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B44852" w:rsidRDefault="00D65D30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751554" w:rsidRDefault="00D65D30" w:rsidP="00D84D0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751554" w:rsidRDefault="00D65D30" w:rsidP="00D84D0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751554" w:rsidRDefault="00D65D30" w:rsidP="00D84D0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751554" w:rsidRDefault="00D65D30" w:rsidP="00D84D0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2019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751554" w:rsidRDefault="00D65D30" w:rsidP="00D84D07">
            <w:pPr>
              <w:pStyle w:val="anslagstabell"/>
              <w:jc w:val="center"/>
              <w:rPr>
                <w:b/>
              </w:rPr>
            </w:pPr>
            <w:r w:rsidRPr="00751554">
              <w:rPr>
                <w:b/>
              </w:rPr>
              <w:t>2020</w:t>
            </w:r>
          </w:p>
        </w:tc>
      </w:tr>
      <w:tr w:rsidR="00D65D30" w:rsidRPr="00751554" w:rsidTr="00C66487">
        <w:tc>
          <w:tcPr>
            <w:tcW w:w="3401" w:type="dxa"/>
            <w:tcBorders>
              <w:top w:val="single" w:sz="4" w:space="0" w:color="auto"/>
            </w:tcBorders>
          </w:tcPr>
          <w:p w:rsidR="00D65D30" w:rsidRPr="008244FA" w:rsidRDefault="00D65D30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65D30" w:rsidRPr="00D27795" w:rsidRDefault="006A29C2" w:rsidP="00140EC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543 600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6A29C2" w:rsidP="00EF5CD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551 613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6A29C2" w:rsidP="00906988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563 130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6A29C2" w:rsidP="00906988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573 362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D27795" w:rsidP="00906988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581 438</w:t>
            </w:r>
          </w:p>
        </w:tc>
      </w:tr>
      <w:tr w:rsidR="00D65D30" w:rsidRPr="00751554" w:rsidTr="00C66487">
        <w:tc>
          <w:tcPr>
            <w:tcW w:w="3401" w:type="dxa"/>
          </w:tcPr>
          <w:p w:rsidR="00D65D30" w:rsidRPr="00B44852" w:rsidRDefault="00D65D30" w:rsidP="00906988">
            <w:pPr>
              <w:pStyle w:val="anslagstabell"/>
            </w:pPr>
            <w:r w:rsidRPr="00B44852">
              <w:t>Överföring till/från andra anslagsposter</w:t>
            </w:r>
          </w:p>
        </w:tc>
        <w:tc>
          <w:tcPr>
            <w:tcW w:w="1156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</w:tr>
      <w:tr w:rsidR="00D65D30" w:rsidRPr="00751554" w:rsidTr="00C66487">
        <w:tc>
          <w:tcPr>
            <w:tcW w:w="3401" w:type="dxa"/>
          </w:tcPr>
          <w:p w:rsidR="00D65D30" w:rsidRPr="00B44852" w:rsidRDefault="00D65D30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</w:tr>
      <w:tr w:rsidR="00D65D30" w:rsidRPr="00751554" w:rsidTr="00C66487">
        <w:tc>
          <w:tcPr>
            <w:tcW w:w="3401" w:type="dxa"/>
          </w:tcPr>
          <w:p w:rsidR="00D65D30" w:rsidRPr="00B44852" w:rsidRDefault="00D65D30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</w:tr>
      <w:tr w:rsidR="00D65D30" w:rsidRPr="00751554" w:rsidTr="00C66487">
        <w:tc>
          <w:tcPr>
            <w:tcW w:w="3401" w:type="dxa"/>
          </w:tcPr>
          <w:p w:rsidR="00D65D30" w:rsidRPr="00B44852" w:rsidRDefault="00D65D30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</w:tr>
      <w:tr w:rsidR="00D65D30" w:rsidRPr="00751554" w:rsidTr="00C66487">
        <w:tc>
          <w:tcPr>
            <w:tcW w:w="3401" w:type="dxa"/>
          </w:tcPr>
          <w:p w:rsidR="00D65D30" w:rsidRPr="00B44852" w:rsidRDefault="00D65D30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D65D30" w:rsidRPr="00D27795" w:rsidRDefault="001E4420" w:rsidP="00906988">
            <w:pPr>
              <w:pStyle w:val="anslagstabell-hgerstlld"/>
            </w:pPr>
            <w:proofErr w:type="gramStart"/>
            <w:r>
              <w:t>-</w:t>
            </w:r>
            <w:proofErr w:type="gramEnd"/>
            <w:r>
              <w:t>13 590</w:t>
            </w:r>
          </w:p>
        </w:tc>
        <w:tc>
          <w:tcPr>
            <w:tcW w:w="1157" w:type="dxa"/>
          </w:tcPr>
          <w:p w:rsidR="001E4420" w:rsidRPr="00D27795" w:rsidRDefault="001E4420" w:rsidP="001E4420">
            <w:pPr>
              <w:pStyle w:val="anslagstabell-hgerstlld"/>
            </w:pPr>
            <w:proofErr w:type="gramStart"/>
            <w:r>
              <w:t>-</w:t>
            </w:r>
            <w:proofErr w:type="gramEnd"/>
            <w:r>
              <w:t>13 396</w:t>
            </w: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D65D30" w:rsidRPr="00D27795" w:rsidRDefault="00D65D30" w:rsidP="00906988">
            <w:pPr>
              <w:pStyle w:val="anslagstabell-hgerstlld"/>
            </w:pPr>
          </w:p>
        </w:tc>
      </w:tr>
      <w:tr w:rsidR="001E4420" w:rsidRPr="00751554" w:rsidTr="00C66487">
        <w:tc>
          <w:tcPr>
            <w:tcW w:w="3401" w:type="dxa"/>
          </w:tcPr>
          <w:p w:rsidR="001E4420" w:rsidRPr="00B44852" w:rsidRDefault="001E4420" w:rsidP="00906988">
            <w:pPr>
              <w:pStyle w:val="anslagstabell"/>
            </w:pPr>
            <w:proofErr w:type="gramStart"/>
            <w:r>
              <w:t>Hemställan</w:t>
            </w:r>
            <w:proofErr w:type="gramEnd"/>
            <w:r>
              <w:t xml:space="preserve"> i budgetunderlaget</w:t>
            </w:r>
          </w:p>
        </w:tc>
        <w:tc>
          <w:tcPr>
            <w:tcW w:w="1156" w:type="dxa"/>
          </w:tcPr>
          <w:p w:rsidR="001E4420" w:rsidRPr="00D27795" w:rsidRDefault="001E4420" w:rsidP="00906988">
            <w:pPr>
              <w:pStyle w:val="anslagstabell-hgerstlld"/>
            </w:pPr>
            <w:r>
              <w:t>+5 000</w:t>
            </w:r>
          </w:p>
        </w:tc>
        <w:tc>
          <w:tcPr>
            <w:tcW w:w="1157" w:type="dxa"/>
          </w:tcPr>
          <w:p w:rsidR="001E4420" w:rsidRPr="00D27795" w:rsidRDefault="001E4420" w:rsidP="00906988">
            <w:pPr>
              <w:pStyle w:val="anslagstabell-hgerstlld"/>
            </w:pPr>
            <w:r>
              <w:t>+7 000</w:t>
            </w:r>
          </w:p>
        </w:tc>
        <w:tc>
          <w:tcPr>
            <w:tcW w:w="1157" w:type="dxa"/>
          </w:tcPr>
          <w:p w:rsidR="001E4420" w:rsidRPr="00D27795" w:rsidRDefault="001E442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E4420" w:rsidRPr="00D27795" w:rsidRDefault="001E4420" w:rsidP="00906988">
            <w:pPr>
              <w:pStyle w:val="anslagstabell-hgerstlld"/>
            </w:pPr>
          </w:p>
        </w:tc>
        <w:tc>
          <w:tcPr>
            <w:tcW w:w="1157" w:type="dxa"/>
          </w:tcPr>
          <w:p w:rsidR="001E4420" w:rsidRPr="00D27795" w:rsidRDefault="001E4420" w:rsidP="00906988">
            <w:pPr>
              <w:pStyle w:val="anslagstabell-hgerstlld"/>
            </w:pPr>
          </w:p>
        </w:tc>
      </w:tr>
      <w:tr w:rsidR="00D65D30" w:rsidRPr="00751554" w:rsidTr="00C66487">
        <w:tc>
          <w:tcPr>
            <w:tcW w:w="3401" w:type="dxa"/>
            <w:tcBorders>
              <w:bottom w:val="single" w:sz="4" w:space="0" w:color="auto"/>
            </w:tcBorders>
          </w:tcPr>
          <w:p w:rsidR="00D65D30" w:rsidRPr="008244FA" w:rsidRDefault="00D65D30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65D30" w:rsidRPr="00D27795" w:rsidRDefault="00D27795" w:rsidP="006F0B0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53</w:t>
            </w:r>
            <w:r w:rsidR="006F0B00">
              <w:rPr>
                <w:b/>
              </w:rPr>
              <w:t>5</w:t>
            </w:r>
            <w:r w:rsidRPr="00D27795">
              <w:rPr>
                <w:b/>
              </w:rPr>
              <w:t xml:space="preserve"> 010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27795" w:rsidP="006F0B0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</w:t>
            </w:r>
            <w:r w:rsidR="006F0B00">
              <w:rPr>
                <w:b/>
              </w:rPr>
              <w:t>45</w:t>
            </w:r>
            <w:r w:rsidRPr="00D27795">
              <w:rPr>
                <w:b/>
              </w:rPr>
              <w:t xml:space="preserve"> 217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27795" w:rsidP="000420D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549 052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27795" w:rsidP="000420D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559 028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27795" w:rsidP="00EF5CD0">
            <w:pPr>
              <w:pStyle w:val="anslagstabell-hgerstlld"/>
              <w:rPr>
                <w:b/>
              </w:rPr>
            </w:pPr>
            <w:r w:rsidRPr="00D27795">
              <w:rPr>
                <w:b/>
              </w:rPr>
              <w:t>566 902</w:t>
            </w:r>
          </w:p>
        </w:tc>
      </w:tr>
      <w:tr w:rsidR="00D65D30" w:rsidRPr="00751554" w:rsidTr="00C66487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D65D30" w:rsidRPr="00751554" w:rsidTr="00C66487">
        <w:tc>
          <w:tcPr>
            <w:tcW w:w="3401" w:type="dxa"/>
            <w:tcBorders>
              <w:top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</w:pPr>
            <w:r w:rsidRPr="00D27795">
              <w:t>Differens i 1000-tal 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65D30" w:rsidRPr="00D27795" w:rsidRDefault="00D65D30" w:rsidP="006F0B00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6F0B00">
              <w:t>8</w:t>
            </w:r>
            <w:r w:rsidRPr="00D27795">
              <w:t xml:space="preserve"> 5</w:t>
            </w:r>
            <w:r w:rsidR="00D27795" w:rsidRPr="00D27795">
              <w:t>90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D65D30" w:rsidP="006F0B00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6F0B00">
              <w:t>6</w:t>
            </w:r>
            <w:r w:rsidR="00D27795" w:rsidRPr="00D27795">
              <w:t xml:space="preserve"> 396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14 078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14 334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14 536</w:t>
            </w:r>
          </w:p>
        </w:tc>
      </w:tr>
      <w:tr w:rsidR="00D65D30" w:rsidRPr="00751554" w:rsidTr="00C66487">
        <w:tc>
          <w:tcPr>
            <w:tcW w:w="3401" w:type="dxa"/>
            <w:tcBorders>
              <w:bottom w:val="single" w:sz="4" w:space="0" w:color="auto"/>
            </w:tcBorders>
          </w:tcPr>
          <w:p w:rsidR="00D65D30" w:rsidRPr="00D27795" w:rsidRDefault="00D65D30" w:rsidP="00906988">
            <w:pPr>
              <w:pStyle w:val="anslagstabell"/>
              <w:keepNext w:val="0"/>
            </w:pPr>
            <w:r w:rsidRPr="00D27795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65D30" w:rsidRPr="00D27795" w:rsidRDefault="00D65D30" w:rsidP="006F0B00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6F0B00">
              <w:t>1</w:t>
            </w:r>
            <w:r w:rsidRPr="00D27795">
              <w:t>,</w:t>
            </w:r>
            <w:r w:rsidR="006F0B00">
              <w:t>6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65D30" w:rsidP="006F0B00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6F0B00">
              <w:t>1</w:t>
            </w:r>
            <w:r w:rsidRPr="00D27795">
              <w:t>,</w:t>
            </w:r>
            <w:r w:rsidR="006F0B00"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2</w:t>
            </w:r>
            <w:r w:rsidRPr="00D27795">
              <w:t>,</w:t>
            </w:r>
            <w:r w:rsidR="00D27795" w:rsidRPr="00D27795"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2</w:t>
            </w:r>
            <w:r w:rsidRPr="00D27795">
              <w:t>,</w:t>
            </w:r>
            <w:r w:rsidR="00D27795" w:rsidRPr="00D27795">
              <w:t>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65D30" w:rsidRPr="00D27795" w:rsidRDefault="00D65D30" w:rsidP="00D27795">
            <w:pPr>
              <w:pStyle w:val="anslagstabell-hgerstlld"/>
            </w:pPr>
            <w:proofErr w:type="gramStart"/>
            <w:r w:rsidRPr="00D27795">
              <w:t>-</w:t>
            </w:r>
            <w:proofErr w:type="gramEnd"/>
            <w:r w:rsidR="00D27795" w:rsidRPr="00D27795">
              <w:t>2</w:t>
            </w:r>
            <w:r w:rsidRPr="00D27795">
              <w:t>,</w:t>
            </w:r>
            <w:r w:rsidR="00D27795" w:rsidRPr="00D27795">
              <w:t>5</w:t>
            </w:r>
          </w:p>
        </w:tc>
      </w:tr>
    </w:tbl>
    <w:p w:rsidR="00E62712" w:rsidRDefault="00E62712" w:rsidP="00B13956">
      <w:pPr>
        <w:rPr>
          <w:snapToGrid w:val="0"/>
        </w:rPr>
      </w:pPr>
    </w:p>
    <w:p w:rsidR="00B13956" w:rsidRPr="00EA21B8" w:rsidRDefault="00140EC0" w:rsidP="00B13956">
      <w:pPr>
        <w:rPr>
          <w:snapToGrid w:val="0"/>
        </w:rPr>
      </w:pPr>
      <w:r w:rsidRPr="00F423EB">
        <w:rPr>
          <w:snapToGrid w:val="0"/>
        </w:rPr>
        <w:t>Den nya prognosen</w:t>
      </w:r>
      <w:r>
        <w:rPr>
          <w:snapToGrid w:val="0"/>
        </w:rPr>
        <w:t xml:space="preserve"> avseende anslaget</w:t>
      </w:r>
      <w:r w:rsidRPr="00F423EB">
        <w:rPr>
          <w:snapToGrid w:val="0"/>
        </w:rPr>
        <w:t xml:space="preserve"> har sänkts något från </w:t>
      </w:r>
      <w:r>
        <w:rPr>
          <w:snapToGrid w:val="0"/>
        </w:rPr>
        <w:t>innevarande</w:t>
      </w:r>
      <w:r w:rsidRPr="00F423EB">
        <w:rPr>
          <w:snapToGrid w:val="0"/>
        </w:rPr>
        <w:t xml:space="preserve"> och framåt. Detta beror på </w:t>
      </w:r>
      <w:r>
        <w:rPr>
          <w:snapToGrid w:val="0"/>
        </w:rPr>
        <w:t>nya beräkningar av fördelningen mellan Pensionsmyndighetens finansieringskällor för administrationen</w:t>
      </w:r>
      <w:r w:rsidRPr="00F423EB">
        <w:rPr>
          <w:snapToGrid w:val="0"/>
        </w:rPr>
        <w:t xml:space="preserve"> i samband med framtagande av myndighetens budgetunderlag för åren 201</w:t>
      </w:r>
      <w:r w:rsidR="00930DD2">
        <w:rPr>
          <w:snapToGrid w:val="0"/>
        </w:rPr>
        <w:t>7</w:t>
      </w:r>
      <w:r w:rsidRPr="00F423EB">
        <w:rPr>
          <w:snapToGrid w:val="0"/>
        </w:rPr>
        <w:t>-201</w:t>
      </w:r>
      <w:r w:rsidR="00930DD2">
        <w:rPr>
          <w:snapToGrid w:val="0"/>
        </w:rPr>
        <w:t>9</w:t>
      </w:r>
      <w:r w:rsidRPr="00F423EB">
        <w:rPr>
          <w:snapToGrid w:val="0"/>
        </w:rPr>
        <w:t>.</w:t>
      </w:r>
      <w:r>
        <w:rPr>
          <w:snapToGrid w:val="0"/>
        </w:rPr>
        <w:t xml:space="preserve"> </w:t>
      </w:r>
      <w:r w:rsidR="00E70FB3">
        <w:rPr>
          <w:snapToGrid w:val="0"/>
        </w:rPr>
        <w:t xml:space="preserve">För 2016 och 2017 har de nya prognoserna dessutom kompletterats med de äskanden om extra anslagsmedel som finns i </w:t>
      </w:r>
      <w:proofErr w:type="gramStart"/>
      <w:r w:rsidR="00E70FB3">
        <w:rPr>
          <w:snapToGrid w:val="0"/>
        </w:rPr>
        <w:t>hemställan</w:t>
      </w:r>
      <w:proofErr w:type="gramEnd"/>
      <w:r w:rsidR="00E70FB3">
        <w:rPr>
          <w:snapToGrid w:val="0"/>
        </w:rPr>
        <w:t xml:space="preserve"> i budgetunderlaget. </w:t>
      </w:r>
      <w:r>
        <w:rPr>
          <w:snapToGrid w:val="0"/>
        </w:rPr>
        <w:lastRenderedPageBreak/>
        <w:t>De totala administrationskostnaderna, alla finansieringskällor inräknade, är oförändrade jämfört med föregående prognos</w:t>
      </w:r>
      <w:r w:rsidR="006F0B00">
        <w:rPr>
          <w:snapToGrid w:val="0"/>
        </w:rPr>
        <w:t xml:space="preserve"> </w:t>
      </w:r>
      <w:r w:rsidR="00E70FB3">
        <w:rPr>
          <w:snapToGrid w:val="0"/>
        </w:rPr>
        <w:t xml:space="preserve">för åren </w:t>
      </w:r>
      <w:r w:rsidR="006F0B00">
        <w:rPr>
          <w:snapToGrid w:val="0"/>
        </w:rPr>
        <w:t>2018-2020</w:t>
      </w:r>
      <w:r>
        <w:rPr>
          <w:snapToGrid w:val="0"/>
        </w:rPr>
        <w:t>.</w:t>
      </w:r>
    </w:p>
    <w:p w:rsidR="005C58EB" w:rsidRPr="00976CD1" w:rsidRDefault="002A1C0C" w:rsidP="005C58EB">
      <w:pPr>
        <w:pStyle w:val="anslagspostrubrik"/>
      </w:pPr>
      <w:bookmarkStart w:id="11" w:name="_Toc221685256"/>
      <w:r>
        <w:t>12.1</w:t>
      </w:r>
      <w:r w:rsidR="005C58EB">
        <w:t>:5</w:t>
      </w:r>
      <w:r w:rsidR="005C58EB">
        <w:tab/>
        <w:t>Barnpension och efterlevandestöd</w:t>
      </w:r>
      <w:bookmarkEnd w:id="11"/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D51F8D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51554">
              <w:rPr>
                <w:b/>
              </w:rPr>
              <w:t>20</w:t>
            </w:r>
          </w:p>
        </w:tc>
      </w:tr>
      <w:tr w:rsidR="00330896" w:rsidRPr="008244FA" w:rsidTr="00B822A7">
        <w:tc>
          <w:tcPr>
            <w:tcW w:w="3401" w:type="dxa"/>
            <w:tcBorders>
              <w:top w:val="single" w:sz="4" w:space="0" w:color="auto"/>
            </w:tcBorders>
          </w:tcPr>
          <w:p w:rsidR="00330896" w:rsidRPr="008244FA" w:rsidRDefault="0033089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bottom"/>
          </w:tcPr>
          <w:p w:rsidR="00330896" w:rsidRPr="00050157" w:rsidRDefault="008F0515" w:rsidP="00C600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050157" w:rsidRDefault="00C600F6" w:rsidP="00C600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1 148 500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050157" w:rsidRDefault="008F0515" w:rsidP="00C600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305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050157" w:rsidRDefault="008F0515" w:rsidP="00C600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361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bottom"/>
          </w:tcPr>
          <w:p w:rsidR="00330896" w:rsidRPr="00050157" w:rsidRDefault="008F0515" w:rsidP="00C600F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1 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421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00F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330896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330896" w:rsidRPr="00B44852" w:rsidTr="00D51F8D">
        <w:tc>
          <w:tcPr>
            <w:tcW w:w="3401" w:type="dxa"/>
          </w:tcPr>
          <w:p w:rsidR="00330896" w:rsidRPr="00B44852" w:rsidRDefault="00330896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56" w:type="dxa"/>
          </w:tcPr>
          <w:p w:rsidR="00330896" w:rsidRPr="00050157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906988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906988">
            <w:pPr>
              <w:pStyle w:val="anslagstabell-hgerstlld"/>
            </w:pPr>
          </w:p>
        </w:tc>
      </w:tr>
      <w:tr w:rsidR="00330896" w:rsidRPr="00B44852" w:rsidTr="00D51F8D">
        <w:tc>
          <w:tcPr>
            <w:tcW w:w="3401" w:type="dxa"/>
          </w:tcPr>
          <w:p w:rsidR="00330896" w:rsidRPr="00B44852" w:rsidRDefault="00330896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330896" w:rsidRPr="00050157" w:rsidRDefault="0033089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7D5243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7D5243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191A50">
            <w:pPr>
              <w:pStyle w:val="anslagstabell-hgerstlld"/>
            </w:pPr>
          </w:p>
        </w:tc>
        <w:tc>
          <w:tcPr>
            <w:tcW w:w="1157" w:type="dxa"/>
          </w:tcPr>
          <w:p w:rsidR="00330896" w:rsidRPr="00050157" w:rsidRDefault="00330896" w:rsidP="00191A50">
            <w:pPr>
              <w:pStyle w:val="anslagstabell-hgerstlld"/>
            </w:pP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F40B8A" w:rsidRPr="00050157" w:rsidRDefault="00C35DEE" w:rsidP="009C6D63">
            <w:pPr>
              <w:pStyle w:val="anslagstabell-hgerstlld"/>
            </w:pPr>
            <w:r w:rsidRPr="00050157">
              <w:t>+500</w:t>
            </w:r>
          </w:p>
        </w:tc>
        <w:tc>
          <w:tcPr>
            <w:tcW w:w="1157" w:type="dxa"/>
          </w:tcPr>
          <w:p w:rsidR="00F40B8A" w:rsidRPr="00050157" w:rsidRDefault="00C35DEE" w:rsidP="00C35DEE">
            <w:pPr>
              <w:pStyle w:val="anslagstabell-hgerstlld"/>
            </w:pPr>
            <w:r w:rsidRPr="00050157">
              <w:t>+8 400</w:t>
            </w:r>
          </w:p>
        </w:tc>
        <w:tc>
          <w:tcPr>
            <w:tcW w:w="1157" w:type="dxa"/>
          </w:tcPr>
          <w:p w:rsidR="00F40B8A" w:rsidRPr="00050157" w:rsidRDefault="00C35DEE" w:rsidP="00C35DEE">
            <w:pPr>
              <w:pStyle w:val="anslagstabell-hgerstlld"/>
            </w:pPr>
            <w:r w:rsidRPr="00050157">
              <w:t>+38 000</w:t>
            </w:r>
          </w:p>
        </w:tc>
        <w:tc>
          <w:tcPr>
            <w:tcW w:w="1157" w:type="dxa"/>
          </w:tcPr>
          <w:p w:rsidR="00F40B8A" w:rsidRPr="00050157" w:rsidRDefault="00C35DEE" w:rsidP="00C35DEE">
            <w:pPr>
              <w:pStyle w:val="anslagstabell-hgerstlld"/>
            </w:pPr>
            <w:r w:rsidRPr="00050157">
              <w:t>+87 900</w:t>
            </w:r>
          </w:p>
        </w:tc>
        <w:tc>
          <w:tcPr>
            <w:tcW w:w="1157" w:type="dxa"/>
          </w:tcPr>
          <w:p w:rsidR="00F40B8A" w:rsidRPr="00050157" w:rsidRDefault="00C35DEE" w:rsidP="00C35DEE">
            <w:pPr>
              <w:pStyle w:val="anslagstabell-hgerstlld"/>
            </w:pPr>
            <w:r w:rsidRPr="00050157">
              <w:t>+141 700</w:t>
            </w: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</w:tr>
      <w:tr w:rsidR="00F40B8A" w:rsidRPr="00B44852" w:rsidTr="00D51F8D">
        <w:tc>
          <w:tcPr>
            <w:tcW w:w="3401" w:type="dxa"/>
          </w:tcPr>
          <w:p w:rsidR="00F40B8A" w:rsidRPr="00B44852" w:rsidRDefault="00F40B8A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56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  <w:tc>
          <w:tcPr>
            <w:tcW w:w="1157" w:type="dxa"/>
          </w:tcPr>
          <w:p w:rsidR="00F40B8A" w:rsidRPr="00050157" w:rsidRDefault="00F40B8A" w:rsidP="00906988">
            <w:pPr>
              <w:pStyle w:val="anslagstabell-hgerstlld"/>
            </w:pPr>
          </w:p>
        </w:tc>
      </w:tr>
      <w:tr w:rsidR="00C600F6" w:rsidRPr="008244FA" w:rsidTr="00B822A7">
        <w:tc>
          <w:tcPr>
            <w:tcW w:w="3401" w:type="dxa"/>
            <w:tcBorders>
              <w:bottom w:val="single" w:sz="4" w:space="0" w:color="auto"/>
            </w:tcBorders>
          </w:tcPr>
          <w:p w:rsidR="00C600F6" w:rsidRPr="008244FA" w:rsidRDefault="00C600F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bottom"/>
          </w:tcPr>
          <w:p w:rsidR="00C600F6" w:rsidRPr="00050157" w:rsidRDefault="00C600F6" w:rsidP="00C35D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957 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C600F6" w:rsidRPr="00050157" w:rsidRDefault="00C600F6" w:rsidP="00C35D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1 1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C600F6" w:rsidRPr="00050157" w:rsidRDefault="00C600F6" w:rsidP="00C35D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1 3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C600F6" w:rsidRPr="00050157" w:rsidRDefault="00C600F6" w:rsidP="00C35D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449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bottom"/>
          </w:tcPr>
          <w:p w:rsidR="00C600F6" w:rsidRPr="00050157" w:rsidRDefault="00C600F6" w:rsidP="00C35DE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1 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563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35DEE"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050157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C600F6" w:rsidRPr="008244FA" w:rsidTr="00D51F8D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8244FA" w:rsidRDefault="00C600F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050157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050157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050157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050157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C600F6" w:rsidRPr="00050157" w:rsidRDefault="00C600F6" w:rsidP="00906988">
            <w:pPr>
              <w:pStyle w:val="anslagstabell"/>
              <w:jc w:val="right"/>
              <w:rPr>
                <w:b/>
              </w:rPr>
            </w:pPr>
          </w:p>
        </w:tc>
      </w:tr>
      <w:tr w:rsidR="00412DEC" w:rsidRPr="00F935F7" w:rsidTr="00D51F8D">
        <w:tc>
          <w:tcPr>
            <w:tcW w:w="3401" w:type="dxa"/>
            <w:tcBorders>
              <w:top w:val="single" w:sz="4" w:space="0" w:color="auto"/>
            </w:tcBorders>
          </w:tcPr>
          <w:p w:rsidR="00412DEC" w:rsidRPr="00F935F7" w:rsidRDefault="00412DEC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+500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+8 400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12DEC" w:rsidRPr="00050157" w:rsidRDefault="00C35DEE" w:rsidP="008F6A57">
            <w:pPr>
              <w:pStyle w:val="anslagstabell-hgerstlld"/>
            </w:pPr>
            <w:r w:rsidRPr="00050157">
              <w:t>+38 00</w:t>
            </w:r>
            <w:r w:rsidR="00412DEC" w:rsidRPr="00050157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12DEC" w:rsidRPr="00050157" w:rsidRDefault="00C35DEE" w:rsidP="008F6A57">
            <w:pPr>
              <w:pStyle w:val="anslagstabell-hgerstlld"/>
            </w:pPr>
            <w:r w:rsidRPr="00050157">
              <w:t>+87 90</w:t>
            </w:r>
            <w:r w:rsidR="00412DEC" w:rsidRPr="00050157">
              <w:t>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412DEC" w:rsidRPr="00050157" w:rsidRDefault="00C35DEE" w:rsidP="008F6A57">
            <w:pPr>
              <w:pStyle w:val="anslagstabell-hgerstlld"/>
            </w:pPr>
            <w:r w:rsidRPr="00050157">
              <w:t>+141 70</w:t>
            </w:r>
            <w:r w:rsidR="00412DEC" w:rsidRPr="00050157">
              <w:t>0</w:t>
            </w:r>
          </w:p>
        </w:tc>
      </w:tr>
      <w:tr w:rsidR="00412DEC" w:rsidRPr="00F935F7" w:rsidTr="00D51F8D">
        <w:tc>
          <w:tcPr>
            <w:tcW w:w="3401" w:type="dxa"/>
            <w:tcBorders>
              <w:bottom w:val="single" w:sz="4" w:space="0" w:color="auto"/>
            </w:tcBorders>
          </w:tcPr>
          <w:p w:rsidR="00412DEC" w:rsidRPr="00F935F7" w:rsidRDefault="00412DEC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</w:t>
            </w:r>
            <w:r w:rsidR="00412DEC" w:rsidRPr="00050157">
              <w:t>0,</w:t>
            </w:r>
            <w:r w:rsidRPr="00050157">
              <w:t>1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</w:t>
            </w:r>
            <w:r w:rsidR="00412DEC" w:rsidRPr="00050157">
              <w:t>0,</w:t>
            </w:r>
            <w:r w:rsidRPr="00050157">
              <w:t>7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+2,9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12DEC" w:rsidRPr="00050157" w:rsidRDefault="00C35DEE" w:rsidP="00C35DEE">
            <w:pPr>
              <w:pStyle w:val="anslagstabell-hgerstlld"/>
            </w:pPr>
            <w:r w:rsidRPr="00050157">
              <w:t>+6,5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412DEC" w:rsidRPr="00050157" w:rsidRDefault="00C35DEE" w:rsidP="008F6A57">
            <w:pPr>
              <w:pStyle w:val="anslagstabell-hgerstlld"/>
            </w:pPr>
            <w:r w:rsidRPr="00050157">
              <w:t>+1</w:t>
            </w:r>
            <w:r w:rsidR="00412DEC" w:rsidRPr="00050157">
              <w:t>0,0</w:t>
            </w:r>
          </w:p>
        </w:tc>
      </w:tr>
    </w:tbl>
    <w:p w:rsidR="008F0515" w:rsidRDefault="008F0515" w:rsidP="008F0515">
      <w:pPr>
        <w:pStyle w:val="Rubrik4"/>
      </w:pPr>
      <w:r w:rsidRPr="00B44852">
        <w:t>Volym- och strukturförändringar</w:t>
      </w:r>
    </w:p>
    <w:p w:rsidR="00D06B98" w:rsidRPr="00EB66A0" w:rsidRDefault="00E32027" w:rsidP="00D06B98">
      <w:r w:rsidRPr="00EB66A0">
        <w:t xml:space="preserve">Prognosen för antalet efterlevandestöd har </w:t>
      </w:r>
      <w:r w:rsidR="00050157" w:rsidRPr="00EB66A0">
        <w:t xml:space="preserve">höjts. </w:t>
      </w:r>
      <w:r w:rsidR="00BE522F" w:rsidRPr="00EB66A0">
        <w:t xml:space="preserve">Orsaken är en ny prognos från </w:t>
      </w:r>
      <w:r w:rsidRPr="00EB66A0">
        <w:t>Migrationsverke</w:t>
      </w:r>
      <w:r w:rsidR="00BE522F" w:rsidRPr="00EB66A0">
        <w:t>t om antalet ensamkommande flyktingbarn</w:t>
      </w:r>
      <w:r w:rsidR="00412DEC" w:rsidRPr="00EB66A0">
        <w:t xml:space="preserve"> m</w:t>
      </w:r>
      <w:r w:rsidR="00EB66A0">
        <w:t>ed mera</w:t>
      </w:r>
      <w:r w:rsidR="00412DEC" w:rsidRPr="00EB66A0">
        <w:t>.</w:t>
      </w:r>
      <w:r w:rsidR="00050157" w:rsidRPr="00EB66A0">
        <w:t xml:space="preserve"> Vår prognos i januari baserades på Migrationsverkets oktoberprognos. Emellertid </w:t>
      </w:r>
      <w:r w:rsidR="009C6D63">
        <w:t xml:space="preserve">utgick vi </w:t>
      </w:r>
      <w:r w:rsidR="00050157" w:rsidRPr="00EB66A0">
        <w:t xml:space="preserve">då </w:t>
      </w:r>
      <w:r w:rsidR="009C6D63">
        <w:t xml:space="preserve">från </w:t>
      </w:r>
      <w:r w:rsidR="00050157" w:rsidRPr="00EB66A0">
        <w:t xml:space="preserve">den nedre gränsen i de prognosintervall som Migrationsverket </w:t>
      </w:r>
      <w:r w:rsidR="009C6D63">
        <w:t xml:space="preserve">redovisade. Orsaken </w:t>
      </w:r>
      <w:r w:rsidR="0092142A">
        <w:t>va</w:t>
      </w:r>
      <w:r w:rsidR="009C6D63">
        <w:t xml:space="preserve">r </w:t>
      </w:r>
      <w:r w:rsidR="00EB66A0">
        <w:t xml:space="preserve">ändrade regler och tillämpningar </w:t>
      </w:r>
      <w:r w:rsidR="0092142A">
        <w:t xml:space="preserve">för flyktingmottagande </w:t>
      </w:r>
      <w:r w:rsidR="00EB66A0">
        <w:t xml:space="preserve">som genomförts efter oktober 2015 </w:t>
      </w:r>
      <w:r w:rsidR="00EB66A0" w:rsidRPr="00EB66A0">
        <w:t>(</w:t>
      </w:r>
      <w:r w:rsidR="00EB66A0">
        <w:t xml:space="preserve">till exempel </w:t>
      </w:r>
      <w:r w:rsidR="00EB66A0" w:rsidRPr="00EB66A0">
        <w:t>ID-kontroller)</w:t>
      </w:r>
      <w:r w:rsidR="00EB66A0">
        <w:t>.</w:t>
      </w:r>
      <w:r w:rsidR="00EB66A0" w:rsidRPr="00EB66A0">
        <w:t xml:space="preserve"> </w:t>
      </w:r>
      <w:r w:rsidR="0092142A">
        <w:t xml:space="preserve">Vår </w:t>
      </w:r>
      <w:r w:rsidR="00EB66A0" w:rsidRPr="00EB66A0">
        <w:t>nya prognos baseras på intervallmitten i de</w:t>
      </w:r>
      <w:r w:rsidR="0092142A">
        <w:t xml:space="preserve"> </w:t>
      </w:r>
      <w:r w:rsidR="00EB66A0" w:rsidRPr="00EB66A0">
        <w:t>prognos</w:t>
      </w:r>
      <w:r w:rsidR="0092142A">
        <w:t>i</w:t>
      </w:r>
      <w:r w:rsidR="00EB66A0" w:rsidRPr="00EB66A0">
        <w:t>ntervall</w:t>
      </w:r>
      <w:r w:rsidR="0092142A">
        <w:t xml:space="preserve"> som Migrationsverket redovisar i sin nya prognos</w:t>
      </w:r>
      <w:r w:rsidR="00EB66A0" w:rsidRPr="00EB66A0">
        <w:t>.</w:t>
      </w:r>
      <w:r w:rsidR="00050157" w:rsidRPr="00EB66A0">
        <w:t xml:space="preserve"> </w:t>
      </w:r>
      <w:r w:rsidRPr="00EB66A0">
        <w:t xml:space="preserve">  </w:t>
      </w:r>
    </w:p>
    <w:p w:rsidR="005C58EB" w:rsidRDefault="002A1C0C" w:rsidP="005C58EB">
      <w:pPr>
        <w:pStyle w:val="anslagspostrubrik"/>
      </w:pPr>
      <w:bookmarkStart w:id="12" w:name="_Toc221685923"/>
      <w:r>
        <w:t>12.1</w:t>
      </w:r>
      <w:r w:rsidR="005C58EB">
        <w:t>:7</w:t>
      </w:r>
      <w:r w:rsidR="005C58EB">
        <w:tab/>
        <w:t>Pensionsrätt för barnår</w:t>
      </w:r>
      <w:bookmarkEnd w:id="12"/>
    </w:p>
    <w:p w:rsidR="00A62E49" w:rsidRDefault="00A62E49" w:rsidP="00A62E49">
      <w:pPr>
        <w:keepNext/>
      </w:pPr>
      <w:r w:rsidRPr="00693EE3">
        <w:t xml:space="preserve">I tabellen nedan görs en jämförelse med </w:t>
      </w:r>
      <w:r>
        <w:t>föregående prognos som lämnades till regeringen i januari 201</w:t>
      </w:r>
      <w:r w:rsidR="00751554">
        <w:t>6</w:t>
      </w:r>
      <w:r>
        <w:t>.</w:t>
      </w:r>
    </w:p>
    <w:p w:rsidR="00A62E49" w:rsidRPr="00A62E49" w:rsidRDefault="00A62E49" w:rsidP="00A62E49"/>
    <w:p w:rsidR="005C58EB" w:rsidRPr="00A01D93" w:rsidRDefault="005C58EB" w:rsidP="005C58EB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102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8"/>
        <w:gridCol w:w="1146"/>
        <w:gridCol w:w="1027"/>
        <w:gridCol w:w="1087"/>
        <w:gridCol w:w="1087"/>
        <w:gridCol w:w="1027"/>
      </w:tblGrid>
      <w:tr w:rsidR="00A62E49" w:rsidRPr="00B44852" w:rsidTr="00A8329B">
        <w:trPr>
          <w:gridAfter w:val="1"/>
          <w:wAfter w:w="1027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B44852" w:rsidRDefault="00A62E49" w:rsidP="00906988">
            <w:pPr>
              <w:pStyle w:val="anslagstabelll-huvudfet"/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Pr="00B44852" w:rsidRDefault="00A62E49" w:rsidP="00751554">
            <w:pPr>
              <w:pStyle w:val="anslagstabelll-huvudfet"/>
              <w:jc w:val="center"/>
            </w:pPr>
            <w:r>
              <w:t>201</w:t>
            </w:r>
            <w:r w:rsidR="00751554">
              <w:t>7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Default="00A62E49" w:rsidP="00751554">
            <w:pPr>
              <w:pStyle w:val="anslagstabelll-huvudfet"/>
              <w:jc w:val="center"/>
            </w:pPr>
            <w:r>
              <w:t>201</w:t>
            </w:r>
            <w:r w:rsidR="00751554">
              <w:t>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62E49" w:rsidRDefault="00A62E49" w:rsidP="00751554">
            <w:pPr>
              <w:pStyle w:val="anslagstabelll-huvudfet"/>
              <w:jc w:val="center"/>
            </w:pPr>
            <w:r>
              <w:t>201</w:t>
            </w:r>
            <w:r w:rsidR="00751554">
              <w:t>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A62E49" w:rsidRDefault="00A62E49" w:rsidP="00751554">
            <w:pPr>
              <w:pStyle w:val="anslagstabelll-huvudfet"/>
              <w:jc w:val="center"/>
            </w:pPr>
            <w:r>
              <w:t>20</w:t>
            </w:r>
            <w:r w:rsidR="00751554">
              <w:t>20</w:t>
            </w:r>
          </w:p>
        </w:tc>
      </w:tr>
      <w:tr w:rsidR="00242DDC" w:rsidRPr="008244FA" w:rsidTr="00A8329B">
        <w:trPr>
          <w:gridAfter w:val="1"/>
          <w:wAfter w:w="1027" w:type="dxa"/>
        </w:trPr>
        <w:tc>
          <w:tcPr>
            <w:tcW w:w="483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42DDC" w:rsidRPr="008244FA" w:rsidRDefault="00242DDC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  <w:r>
              <w:rPr>
                <w:b/>
              </w:rPr>
              <w:t xml:space="preserve"> för anslagsposten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7 512 200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7 645 900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8 174 800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8 723 200</w:t>
            </w:r>
          </w:p>
        </w:tc>
      </w:tr>
      <w:tr w:rsidR="00242DDC" w:rsidRPr="00B44852" w:rsidTr="00A8329B">
        <w:trPr>
          <w:gridAfter w:val="1"/>
          <w:wAfter w:w="1027" w:type="dxa"/>
        </w:trPr>
        <w:tc>
          <w:tcPr>
            <w:tcW w:w="4838" w:type="dxa"/>
            <w:tcMar>
              <w:left w:w="57" w:type="dxa"/>
              <w:right w:w="57" w:type="dxa"/>
            </w:tcMar>
          </w:tcPr>
          <w:p w:rsidR="00242DDC" w:rsidRPr="00B44852" w:rsidRDefault="00242DDC" w:rsidP="006D02FC">
            <w:pPr>
              <w:pStyle w:val="anslagstabell"/>
            </w:pPr>
            <w:r w:rsidRPr="00B44852">
              <w:t>Överföring till/från andra anslag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42DDC" w:rsidRPr="00B44852" w:rsidTr="00A8329B">
        <w:trPr>
          <w:gridAfter w:val="1"/>
          <w:wAfter w:w="1027" w:type="dxa"/>
        </w:trPr>
        <w:tc>
          <w:tcPr>
            <w:tcW w:w="4838" w:type="dxa"/>
            <w:tcMar>
              <w:left w:w="57" w:type="dxa"/>
              <w:right w:w="57" w:type="dxa"/>
            </w:tcMar>
          </w:tcPr>
          <w:p w:rsidR="00242DDC" w:rsidRPr="00B44852" w:rsidRDefault="00242DDC" w:rsidP="00906988">
            <w:pPr>
              <w:pStyle w:val="anslagstabell"/>
            </w:pPr>
            <w:r w:rsidRPr="00B44852">
              <w:t>Ändrade makroekonomiska antaganden</w:t>
            </w:r>
            <w:r>
              <w:t xml:space="preserve"> för prognosåret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7" w:type="dxa"/>
            <w:vAlign w:val="bottom"/>
          </w:tcPr>
          <w:p w:rsidR="00242DDC" w:rsidRPr="00242DDC" w:rsidRDefault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300ED" w:rsidRPr="00B44852" w:rsidTr="00A8329B">
        <w:trPr>
          <w:gridAfter w:val="1"/>
          <w:wAfter w:w="1027" w:type="dxa"/>
        </w:trPr>
        <w:tc>
          <w:tcPr>
            <w:tcW w:w="4838" w:type="dxa"/>
            <w:tcMar>
              <w:left w:w="57" w:type="dxa"/>
              <w:right w:w="57" w:type="dxa"/>
            </w:tcMar>
          </w:tcPr>
          <w:p w:rsidR="007300ED" w:rsidRPr="00B44852" w:rsidRDefault="007300ED" w:rsidP="00906988">
            <w:pPr>
              <w:pStyle w:val="anslagstabell"/>
            </w:pPr>
            <w:r w:rsidRPr="00B44852">
              <w:t>Volym- och strukturförändringar</w:t>
            </w:r>
            <w:r>
              <w:t xml:space="preserve"> för prognosåret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7300ED" w:rsidRPr="00A8329B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29B">
              <w:rPr>
                <w:rFonts w:ascii="Arial" w:hAnsi="Arial" w:cs="Arial"/>
                <w:sz w:val="18"/>
                <w:szCs w:val="18"/>
              </w:rPr>
              <w:t>16 000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16 300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17 100</w:t>
            </w:r>
          </w:p>
        </w:tc>
        <w:tc>
          <w:tcPr>
            <w:tcW w:w="1087" w:type="dxa"/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16 800</w:t>
            </w:r>
          </w:p>
        </w:tc>
      </w:tr>
      <w:tr w:rsidR="007300ED" w:rsidRPr="00B44852" w:rsidTr="00A8329B">
        <w:tc>
          <w:tcPr>
            <w:tcW w:w="4838" w:type="dxa"/>
            <w:tcMar>
              <w:left w:w="57" w:type="dxa"/>
              <w:right w:w="57" w:type="dxa"/>
            </w:tcMar>
          </w:tcPr>
          <w:p w:rsidR="007300ED" w:rsidRPr="00B44852" w:rsidRDefault="007300ED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7300ED" w:rsidRPr="00A8329B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32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vAlign w:val="bottom"/>
          </w:tcPr>
          <w:p w:rsidR="007300ED" w:rsidRPr="007300ED" w:rsidRDefault="007300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vAlign w:val="bottom"/>
          </w:tcPr>
          <w:p w:rsidR="007300ED" w:rsidRDefault="007300ED" w:rsidP="00D84D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7300ED" w:rsidRPr="00B44852" w:rsidTr="00A8329B">
        <w:trPr>
          <w:gridAfter w:val="1"/>
          <w:wAfter w:w="1027" w:type="dxa"/>
        </w:trPr>
        <w:tc>
          <w:tcPr>
            <w:tcW w:w="4838" w:type="dxa"/>
            <w:tcMar>
              <w:left w:w="57" w:type="dxa"/>
              <w:right w:w="57" w:type="dxa"/>
            </w:tcMar>
          </w:tcPr>
          <w:p w:rsidR="007300ED" w:rsidRDefault="007300ED" w:rsidP="00906988">
            <w:pPr>
              <w:pStyle w:val="anslagstabell"/>
            </w:pPr>
            <w:r>
              <w:t>Ändrat regleringsbelopp avseende tre år tidigare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7300ED" w:rsidRPr="00A8329B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8329B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A832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17 900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17 100</w:t>
            </w:r>
          </w:p>
        </w:tc>
        <w:tc>
          <w:tcPr>
            <w:tcW w:w="1087" w:type="dxa"/>
            <w:vAlign w:val="bottom"/>
          </w:tcPr>
          <w:p w:rsidR="007300ED" w:rsidRPr="007300ED" w:rsidRDefault="007300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00E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A8329B" w:rsidRPr="00B44852" w:rsidTr="00A8329B">
        <w:trPr>
          <w:gridAfter w:val="1"/>
          <w:wAfter w:w="1027" w:type="dxa"/>
        </w:trPr>
        <w:tc>
          <w:tcPr>
            <w:tcW w:w="4838" w:type="dxa"/>
            <w:tcMar>
              <w:left w:w="57" w:type="dxa"/>
              <w:right w:w="57" w:type="dxa"/>
            </w:tcMar>
          </w:tcPr>
          <w:p w:rsidR="00A8329B" w:rsidRPr="00B44852" w:rsidRDefault="00A8329B" w:rsidP="00906988">
            <w:pPr>
              <w:pStyle w:val="anslagstabell"/>
            </w:pPr>
            <w:r w:rsidRPr="00B44852">
              <w:t>Övrigt</w:t>
            </w:r>
          </w:p>
        </w:tc>
        <w:tc>
          <w:tcPr>
            <w:tcW w:w="1146" w:type="dxa"/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A8329B" w:rsidRPr="008244FA" w:rsidTr="00A8329B">
        <w:trPr>
          <w:gridAfter w:val="1"/>
          <w:wAfter w:w="1027" w:type="dxa"/>
        </w:trPr>
        <w:tc>
          <w:tcPr>
            <w:tcW w:w="48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329B" w:rsidRPr="008244FA" w:rsidRDefault="00A8329B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  <w:r>
              <w:rPr>
                <w:b/>
              </w:rPr>
              <w:t>för anslagsposten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7 528 100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D84D07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7 680 1</w:t>
            </w:r>
            <w:r w:rsidR="00A8329B" w:rsidRPr="00242D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D84D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8 20</w:t>
            </w:r>
            <w:r w:rsidR="00D84D07">
              <w:rPr>
                <w:rFonts w:ascii="Arial" w:hAnsi="Arial" w:cs="Arial"/>
                <w:sz w:val="18"/>
                <w:szCs w:val="18"/>
              </w:rPr>
              <w:t>9</w:t>
            </w:r>
            <w:r w:rsidRPr="00242D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4D07">
              <w:rPr>
                <w:rFonts w:ascii="Arial" w:hAnsi="Arial" w:cs="Arial"/>
                <w:sz w:val="18"/>
                <w:szCs w:val="18"/>
              </w:rPr>
              <w:t>0</w:t>
            </w:r>
            <w:r w:rsidRPr="00242D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bottom"/>
          </w:tcPr>
          <w:p w:rsidR="00A8329B" w:rsidRPr="00242DDC" w:rsidRDefault="00A8329B" w:rsidP="00C74EE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8 740 000</w:t>
            </w:r>
          </w:p>
        </w:tc>
      </w:tr>
      <w:tr w:rsidR="00A8329B" w:rsidRPr="008244FA" w:rsidTr="00A8329B">
        <w:trPr>
          <w:gridAfter w:val="1"/>
          <w:wAfter w:w="1027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8329B" w:rsidRPr="008244FA" w:rsidRDefault="00A8329B" w:rsidP="00906988">
            <w:pPr>
              <w:pStyle w:val="anslagstabell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29B" w:rsidRPr="00F935F7" w:rsidTr="00A8329B">
        <w:trPr>
          <w:gridAfter w:val="1"/>
          <w:wAfter w:w="1027" w:type="dxa"/>
        </w:trPr>
        <w:tc>
          <w:tcPr>
            <w:tcW w:w="483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A8329B" w:rsidRPr="00F935F7" w:rsidRDefault="00A8329B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15 900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D84D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 xml:space="preserve">34 </w:t>
            </w:r>
            <w:r w:rsidR="00D84D07">
              <w:rPr>
                <w:rFonts w:ascii="Arial" w:hAnsi="Arial" w:cs="Arial"/>
                <w:sz w:val="18"/>
                <w:szCs w:val="18"/>
              </w:rPr>
              <w:t>2</w:t>
            </w:r>
            <w:r w:rsidRPr="00242D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 w:rsidP="00D84D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 xml:space="preserve">34 </w:t>
            </w:r>
            <w:r w:rsidR="00D84D07">
              <w:rPr>
                <w:rFonts w:ascii="Arial" w:hAnsi="Arial" w:cs="Arial"/>
                <w:sz w:val="18"/>
                <w:szCs w:val="18"/>
              </w:rPr>
              <w:t>2</w:t>
            </w:r>
            <w:r w:rsidRPr="00242DDC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vAlign w:val="bottom"/>
          </w:tcPr>
          <w:p w:rsidR="00A8329B" w:rsidRPr="00242DDC" w:rsidRDefault="00A8329B" w:rsidP="00242D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2DDC">
              <w:rPr>
                <w:rFonts w:ascii="Arial" w:hAnsi="Arial" w:cs="Arial"/>
                <w:sz w:val="18"/>
                <w:szCs w:val="18"/>
              </w:rPr>
              <w:t>16 800</w:t>
            </w:r>
          </w:p>
        </w:tc>
      </w:tr>
      <w:tr w:rsidR="00A8329B" w:rsidRPr="00F935F7" w:rsidTr="00A8329B">
        <w:trPr>
          <w:gridAfter w:val="1"/>
          <w:wAfter w:w="1027" w:type="dxa"/>
        </w:trPr>
        <w:tc>
          <w:tcPr>
            <w:tcW w:w="4838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A8329B" w:rsidRPr="00F935F7" w:rsidRDefault="00A8329B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46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42DDC">
              <w:rPr>
                <w:rFonts w:ascii="Arial" w:hAnsi="Arial" w:cs="Arial"/>
                <w:sz w:val="18"/>
                <w:szCs w:val="18"/>
              </w:rPr>
              <w:t xml:space="preserve">0,2   </w:t>
            </w:r>
          </w:p>
        </w:tc>
        <w:tc>
          <w:tcPr>
            <w:tcW w:w="102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42DDC">
              <w:rPr>
                <w:rFonts w:ascii="Arial" w:hAnsi="Arial" w:cs="Arial"/>
                <w:sz w:val="18"/>
                <w:szCs w:val="18"/>
              </w:rPr>
              <w:t xml:space="preserve">0,4   </w:t>
            </w:r>
          </w:p>
        </w:tc>
        <w:tc>
          <w:tcPr>
            <w:tcW w:w="1087" w:type="dxa"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42DDC">
              <w:rPr>
                <w:rFonts w:ascii="Arial" w:hAnsi="Arial" w:cs="Arial"/>
                <w:sz w:val="18"/>
                <w:szCs w:val="18"/>
              </w:rPr>
              <w:t xml:space="preserve">0,4   </w:t>
            </w:r>
          </w:p>
        </w:tc>
        <w:tc>
          <w:tcPr>
            <w:tcW w:w="1087" w:type="dxa"/>
            <w:tcBorders>
              <w:bottom w:val="single" w:sz="6" w:space="0" w:color="auto"/>
            </w:tcBorders>
            <w:vAlign w:val="bottom"/>
          </w:tcPr>
          <w:p w:rsidR="00A8329B" w:rsidRPr="00242DDC" w:rsidRDefault="00A8329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  <w:r w:rsidRPr="00242DDC">
              <w:rPr>
                <w:rFonts w:ascii="Arial" w:hAnsi="Arial" w:cs="Arial"/>
                <w:sz w:val="18"/>
                <w:szCs w:val="18"/>
              </w:rPr>
              <w:t xml:space="preserve">0,2   </w:t>
            </w:r>
          </w:p>
        </w:tc>
      </w:tr>
    </w:tbl>
    <w:p w:rsidR="0076724A" w:rsidRDefault="0076724A" w:rsidP="0076724A">
      <w:pPr>
        <w:pStyle w:val="Rubrik4"/>
      </w:pPr>
      <w:r w:rsidRPr="00B44852">
        <w:t>Volym- och strukturförändringar</w:t>
      </w:r>
    </w:p>
    <w:p w:rsidR="0076724A" w:rsidRDefault="0076724A" w:rsidP="0076724A">
      <w:r>
        <w:t>Prognosen är höjd</w:t>
      </w:r>
      <w:r w:rsidR="007E79E1">
        <w:t xml:space="preserve"> </w:t>
      </w:r>
      <w:r>
        <w:t>jämfört med föregående ans</w:t>
      </w:r>
      <w:r w:rsidR="009D302D">
        <w:t xml:space="preserve">lagsuppföljning beroende på </w:t>
      </w:r>
      <w:r w:rsidR="007E79E1">
        <w:t>utfalls</w:t>
      </w:r>
      <w:r w:rsidR="009D302D">
        <w:t>statistik för 2014</w:t>
      </w:r>
      <w:r w:rsidR="00AE5A8F">
        <w:t xml:space="preserve"> (intjänande)</w:t>
      </w:r>
      <w:r w:rsidR="00C650E4">
        <w:t xml:space="preserve"> gällande antal och medelbelopp enligt </w:t>
      </w:r>
      <w:r w:rsidR="00C650E4">
        <w:lastRenderedPageBreak/>
        <w:t>de tre olika beräkningsalternativen</w:t>
      </w:r>
      <w:r w:rsidR="009D302D">
        <w:t>.</w:t>
      </w:r>
      <w:r w:rsidR="00C650E4">
        <w:t xml:space="preserve"> </w:t>
      </w:r>
      <w:r w:rsidR="008E359B">
        <w:t>Andelarna och därmed a</w:t>
      </w:r>
      <w:r w:rsidR="007E79E1">
        <w:t>ntalet</w:t>
      </w:r>
      <w:r w:rsidR="009F63D7">
        <w:t xml:space="preserve"> personer </w:t>
      </w:r>
      <w:r w:rsidR="00C650E4">
        <w:t>enligt de tre olika beräkningsalternativen</w:t>
      </w:r>
      <w:r w:rsidR="009F63D7">
        <w:t xml:space="preserve"> </w:t>
      </w:r>
      <w:r w:rsidR="007E79E1">
        <w:t xml:space="preserve">har </w:t>
      </w:r>
      <w:r w:rsidR="009F63D7">
        <w:t>skattats om i prognosen beroende på den nya statistiken.</w:t>
      </w:r>
    </w:p>
    <w:p w:rsidR="009D302D" w:rsidRDefault="009D302D" w:rsidP="0076724A"/>
    <w:p w:rsidR="009D302D" w:rsidRDefault="009D302D" w:rsidP="009D302D">
      <w:pPr>
        <w:pStyle w:val="Rubrik4"/>
      </w:pPr>
      <w:r>
        <w:t>Ändrat regleringsbelopp avseende tre år tidigare</w:t>
      </w:r>
    </w:p>
    <w:p w:rsidR="009D302D" w:rsidRDefault="009D302D" w:rsidP="009D302D">
      <w:r>
        <w:t>Prognosen är höjd</w:t>
      </w:r>
      <w:r w:rsidR="00A8329B">
        <w:t xml:space="preserve"> </w:t>
      </w:r>
      <w:r>
        <w:t xml:space="preserve">jämfört med föregående anslagsuppföljning beroende på </w:t>
      </w:r>
      <w:r w:rsidR="007E79E1">
        <w:t>utfalls</w:t>
      </w:r>
      <w:r>
        <w:t>statistik för 2014</w:t>
      </w:r>
      <w:r w:rsidR="00BD6DF2">
        <w:t xml:space="preserve"> (se ovan)</w:t>
      </w:r>
      <w:r>
        <w:t>.</w:t>
      </w:r>
      <w:r w:rsidR="00AE5A8F">
        <w:t xml:space="preserve"> </w:t>
      </w:r>
    </w:p>
    <w:p w:rsidR="009D302D" w:rsidRDefault="009D302D" w:rsidP="0076724A"/>
    <w:p w:rsidR="005C58EB" w:rsidRPr="00976CD1" w:rsidRDefault="005C58EB" w:rsidP="005C58EB">
      <w:pPr>
        <w:pStyle w:val="anslagspostrubrik"/>
      </w:pPr>
      <w:r>
        <w:t>Ålderspensionssystemet vid sidan av statsbudgeten</w:t>
      </w:r>
    </w:p>
    <w:p w:rsidR="005C58EB" w:rsidRDefault="005C58EB" w:rsidP="005C58EB">
      <w:pPr>
        <w:keepNext/>
      </w:pPr>
      <w:r w:rsidRPr="00693EE3">
        <w:t xml:space="preserve">I tabellen nedan görs en jämförelse med </w:t>
      </w:r>
      <w:r>
        <w:t>föregående prognos som lämnades till regeringen i januari 20</w:t>
      </w:r>
      <w:r w:rsidR="00FD230A">
        <w:t>1</w:t>
      </w:r>
      <w:r w:rsidR="00751554">
        <w:t>6</w:t>
      </w:r>
      <w:r>
        <w:t>.</w:t>
      </w:r>
    </w:p>
    <w:p w:rsidR="00A62E49" w:rsidRDefault="00A62E49" w:rsidP="005C58EB">
      <w:pPr>
        <w:keepNext/>
      </w:pPr>
    </w:p>
    <w:p w:rsidR="00A62E49" w:rsidRPr="00A01D93" w:rsidRDefault="00A62E49" w:rsidP="00A62E49">
      <w:pPr>
        <w:keepNext/>
      </w:pPr>
      <w:r>
        <w:rPr>
          <w:rStyle w:val="versikt-fet"/>
        </w:rPr>
        <w:t>P</w:t>
      </w:r>
      <w:r w:rsidRPr="00A01D93">
        <w:rPr>
          <w:rStyle w:val="versikt-fet"/>
        </w:rPr>
        <w:t>rognos</w:t>
      </w:r>
      <w:r>
        <w:rPr>
          <w:rStyle w:val="versikt-fet"/>
        </w:rPr>
        <w:t>j</w:t>
      </w:r>
      <w:r w:rsidRPr="00A01D93">
        <w:rPr>
          <w:rStyle w:val="versikt-fet"/>
        </w:rPr>
        <w:t>ämförels</w:t>
      </w:r>
      <w:r>
        <w:rPr>
          <w:rStyle w:val="versikt-fet"/>
        </w:rPr>
        <w:t>e</w:t>
      </w:r>
      <w:r w:rsidRPr="00A01D93">
        <w:rPr>
          <w:rStyle w:val="versikt-fet"/>
        </w:rPr>
        <w:t>.</w:t>
      </w:r>
      <w:r w:rsidRPr="00A01D93">
        <w:t xml:space="preserve"> Beloppen anges i 1000-tal kronor </w:t>
      </w:r>
    </w:p>
    <w:tbl>
      <w:tblPr>
        <w:tblW w:w="91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156"/>
        <w:gridCol w:w="1157"/>
        <w:gridCol w:w="1157"/>
        <w:gridCol w:w="1157"/>
        <w:gridCol w:w="1157"/>
      </w:tblGrid>
      <w:tr w:rsidR="00330896" w:rsidRPr="00B44852" w:rsidTr="00E42A5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906988">
            <w:pPr>
              <w:pStyle w:val="anslagstabell"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Pr="00B44852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751554">
              <w:rPr>
                <w:b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330896" w:rsidRDefault="00330896" w:rsidP="00751554">
            <w:pPr>
              <w:pStyle w:val="anslagstabell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51554">
              <w:rPr>
                <w:b/>
              </w:rPr>
              <w:t>20</w:t>
            </w:r>
          </w:p>
        </w:tc>
      </w:tr>
      <w:tr w:rsidR="000B4246" w:rsidRPr="008244FA" w:rsidTr="00E42A5B">
        <w:tc>
          <w:tcPr>
            <w:tcW w:w="3401" w:type="dxa"/>
            <w:tcBorders>
              <w:top w:val="single" w:sz="4" w:space="0" w:color="auto"/>
            </w:tcBorders>
          </w:tcPr>
          <w:p w:rsidR="000B4246" w:rsidRPr="008244FA" w:rsidRDefault="000B424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>Föregående prognos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2</w:t>
            </w:r>
            <w:r w:rsidR="00320B63" w:rsidRPr="00320B63">
              <w:rPr>
                <w:b/>
              </w:rPr>
              <w:t>93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030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320B63" w:rsidRDefault="00320B63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309</w:t>
            </w:r>
            <w:r w:rsidR="000B4246" w:rsidRPr="00320B63">
              <w:rPr>
                <w:b/>
              </w:rPr>
              <w:t> </w:t>
            </w:r>
            <w:r w:rsidRPr="00320B63">
              <w:rPr>
                <w:b/>
              </w:rPr>
              <w:t>978</w:t>
            </w:r>
            <w:r w:rsidR="000B4246"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</w:t>
            </w:r>
            <w:r w:rsidR="00320B63" w:rsidRPr="00320B63">
              <w:rPr>
                <w:b/>
              </w:rPr>
              <w:t>27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622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</w:t>
            </w:r>
            <w:r w:rsidR="00320B63" w:rsidRPr="00320B63">
              <w:rPr>
                <w:b/>
              </w:rPr>
              <w:t>41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365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</w:t>
            </w:r>
            <w:r w:rsidR="00320B63" w:rsidRPr="00320B63">
              <w:rPr>
                <w:b/>
              </w:rPr>
              <w:t>53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828</w:t>
            </w:r>
            <w:r w:rsidRPr="00320B63">
              <w:rPr>
                <w:b/>
              </w:rPr>
              <w:t xml:space="preserve"> 000</w:t>
            </w:r>
          </w:p>
        </w:tc>
      </w:tr>
      <w:tr w:rsidR="000B4246" w:rsidRPr="00B44852" w:rsidTr="00E42A5B">
        <w:tc>
          <w:tcPr>
            <w:tcW w:w="3401" w:type="dxa"/>
          </w:tcPr>
          <w:p w:rsidR="000B4246" w:rsidRPr="00E42A5B" w:rsidRDefault="000B4246" w:rsidP="00906988">
            <w:pPr>
              <w:pStyle w:val="anslagstabell"/>
              <w:rPr>
                <w:b/>
              </w:rPr>
            </w:pPr>
            <w:r w:rsidRPr="00E42A5B">
              <w:rPr>
                <w:b/>
              </w:rPr>
              <w:t>Varav utgifter under utgiftstaket</w:t>
            </w:r>
          </w:p>
        </w:tc>
        <w:tc>
          <w:tcPr>
            <w:tcW w:w="1156" w:type="dxa"/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2</w:t>
            </w:r>
            <w:r w:rsidR="00320B63" w:rsidRPr="00320B63">
              <w:rPr>
                <w:b/>
              </w:rPr>
              <w:t>85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383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320B63" w:rsidRDefault="00320B63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300</w:t>
            </w:r>
            <w:r w:rsidR="000B4246" w:rsidRPr="00320B63">
              <w:rPr>
                <w:b/>
              </w:rPr>
              <w:t> </w:t>
            </w:r>
            <w:r w:rsidRPr="00320B63">
              <w:rPr>
                <w:b/>
              </w:rPr>
              <w:t>749</w:t>
            </w:r>
            <w:r w:rsidR="000B4246"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</w:t>
            </w:r>
            <w:r w:rsidR="00320B63" w:rsidRPr="00320B63">
              <w:rPr>
                <w:b/>
              </w:rPr>
              <w:t>16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586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</w:t>
            </w:r>
            <w:r w:rsidR="00320B63" w:rsidRPr="00320B63">
              <w:rPr>
                <w:b/>
              </w:rPr>
              <w:t>28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181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0B4246" w:rsidRPr="00320B63" w:rsidRDefault="000B4246" w:rsidP="00320B63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33</w:t>
            </w:r>
            <w:r w:rsidR="00320B63" w:rsidRPr="00320B63">
              <w:rPr>
                <w:b/>
              </w:rPr>
              <w:t>8</w:t>
            </w:r>
            <w:r w:rsidRPr="00320B63">
              <w:rPr>
                <w:b/>
              </w:rPr>
              <w:t> </w:t>
            </w:r>
            <w:r w:rsidR="00320B63" w:rsidRPr="00320B63">
              <w:rPr>
                <w:b/>
              </w:rPr>
              <w:t>106</w:t>
            </w:r>
            <w:r w:rsidRPr="00320B63">
              <w:rPr>
                <w:b/>
              </w:rPr>
              <w:t xml:space="preserve"> 000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 w:rsidRPr="00B44852">
              <w:t>Ändrade makroekonomiska antaganden</w:t>
            </w:r>
          </w:p>
        </w:tc>
        <w:tc>
          <w:tcPr>
            <w:tcW w:w="1156" w:type="dxa"/>
          </w:tcPr>
          <w:p w:rsidR="0060733A" w:rsidRPr="00320B63" w:rsidRDefault="0060733A" w:rsidP="00EB246A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7A368E" w:rsidRDefault="0060733A" w:rsidP="00320B63">
            <w:pPr>
              <w:pStyle w:val="anslagstabell-hgerstlld"/>
            </w:pPr>
            <w:proofErr w:type="gramStart"/>
            <w:r w:rsidRPr="007A368E">
              <w:t>–</w:t>
            </w:r>
            <w:r w:rsidR="007A368E" w:rsidRPr="007A368E">
              <w:t>124</w:t>
            </w:r>
            <w:proofErr w:type="gramEnd"/>
            <w:r w:rsidR="007A368E" w:rsidRPr="007A368E">
              <w:t xml:space="preserve"> 000</w:t>
            </w:r>
          </w:p>
        </w:tc>
        <w:tc>
          <w:tcPr>
            <w:tcW w:w="1157" w:type="dxa"/>
          </w:tcPr>
          <w:p w:rsidR="0060733A" w:rsidRPr="007A368E" w:rsidRDefault="0060733A" w:rsidP="00BB7C3A">
            <w:pPr>
              <w:pStyle w:val="anslagstabell-hgerstlld"/>
            </w:pPr>
            <w:proofErr w:type="gramStart"/>
            <w:r w:rsidRPr="007A368E">
              <w:t>–</w:t>
            </w:r>
            <w:r w:rsidR="007A368E" w:rsidRPr="007A368E">
              <w:t>179</w:t>
            </w:r>
            <w:proofErr w:type="gramEnd"/>
            <w:r w:rsidR="007A368E" w:rsidRPr="007A368E">
              <w:t xml:space="preserve"> 000</w:t>
            </w:r>
          </w:p>
        </w:tc>
        <w:tc>
          <w:tcPr>
            <w:tcW w:w="1157" w:type="dxa"/>
          </w:tcPr>
          <w:p w:rsidR="0060733A" w:rsidRPr="00320B63" w:rsidRDefault="0060733A" w:rsidP="00BB7C3A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BB7C3A">
            <w:pPr>
              <w:pStyle w:val="anslagstabell-hgerstlld"/>
            </w:pPr>
            <w:r w:rsidRPr="00320B63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 w:rsidRPr="00B44852">
              <w:t>Volym- och strukturförändringar</w:t>
            </w:r>
          </w:p>
        </w:tc>
        <w:tc>
          <w:tcPr>
            <w:tcW w:w="1156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7A368E" w:rsidRDefault="0060733A" w:rsidP="00191A50">
            <w:pPr>
              <w:pStyle w:val="anslagstabell-hgerstlld"/>
            </w:pPr>
            <w:r w:rsidRPr="007A368E">
              <w:t>–</w:t>
            </w:r>
          </w:p>
        </w:tc>
        <w:tc>
          <w:tcPr>
            <w:tcW w:w="1157" w:type="dxa"/>
          </w:tcPr>
          <w:p w:rsidR="0060733A" w:rsidRPr="007A368E" w:rsidRDefault="0060733A" w:rsidP="00191A50">
            <w:pPr>
              <w:pStyle w:val="anslagstabell-hgerstlld"/>
            </w:pPr>
            <w:r w:rsidRPr="007A368E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Pr="00B44852" w:rsidRDefault="0060733A" w:rsidP="00906988">
            <w:pPr>
              <w:pStyle w:val="anslagstabell"/>
            </w:pPr>
            <w:r>
              <w:t>Ny regeländring</w:t>
            </w:r>
          </w:p>
        </w:tc>
        <w:tc>
          <w:tcPr>
            <w:tcW w:w="1156" w:type="dxa"/>
          </w:tcPr>
          <w:p w:rsidR="0060733A" w:rsidRPr="00320B63" w:rsidRDefault="0060733A" w:rsidP="00906988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7A368E" w:rsidRDefault="0060733A" w:rsidP="00906988">
            <w:pPr>
              <w:pStyle w:val="anslagstabell-hgerstlld"/>
            </w:pPr>
            <w:r w:rsidRPr="007A368E">
              <w:t>–</w:t>
            </w:r>
          </w:p>
        </w:tc>
        <w:tc>
          <w:tcPr>
            <w:tcW w:w="1157" w:type="dxa"/>
          </w:tcPr>
          <w:p w:rsidR="0060733A" w:rsidRPr="007A368E" w:rsidRDefault="0060733A" w:rsidP="00906988">
            <w:pPr>
              <w:pStyle w:val="anslagstabell-hgerstlld"/>
            </w:pPr>
            <w:r w:rsidRPr="007A368E">
              <w:t>–</w:t>
            </w:r>
          </w:p>
        </w:tc>
        <w:tc>
          <w:tcPr>
            <w:tcW w:w="1157" w:type="dxa"/>
          </w:tcPr>
          <w:p w:rsidR="0060733A" w:rsidRPr="00320B63" w:rsidRDefault="0060733A" w:rsidP="00906988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906988">
            <w:pPr>
              <w:pStyle w:val="anslagstabell-hgerstlld"/>
            </w:pPr>
            <w:r w:rsidRPr="00320B63">
              <w:t>–</w:t>
            </w:r>
          </w:p>
        </w:tc>
      </w:tr>
      <w:tr w:rsidR="0060733A" w:rsidRPr="00B44852" w:rsidTr="00E42A5B">
        <w:tc>
          <w:tcPr>
            <w:tcW w:w="3401" w:type="dxa"/>
          </w:tcPr>
          <w:p w:rsidR="0060733A" w:rsidRDefault="0060733A" w:rsidP="00906988">
            <w:pPr>
              <w:pStyle w:val="anslagstabell"/>
            </w:pPr>
            <w:r>
              <w:t>Förändring av överföringar till EG</w:t>
            </w:r>
          </w:p>
        </w:tc>
        <w:tc>
          <w:tcPr>
            <w:tcW w:w="1156" w:type="dxa"/>
          </w:tcPr>
          <w:p w:rsidR="0060733A" w:rsidRPr="00320B63" w:rsidRDefault="0060733A" w:rsidP="007601C3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  <w:tc>
          <w:tcPr>
            <w:tcW w:w="1157" w:type="dxa"/>
          </w:tcPr>
          <w:p w:rsidR="0060733A" w:rsidRPr="00320B63" w:rsidRDefault="0060733A" w:rsidP="00191A50">
            <w:pPr>
              <w:pStyle w:val="anslagstabell-hgerstlld"/>
            </w:pPr>
            <w:r w:rsidRPr="00320B63">
              <w:t>–</w:t>
            </w:r>
          </w:p>
        </w:tc>
      </w:tr>
      <w:tr w:rsidR="00DF6116" w:rsidRPr="00B44852" w:rsidTr="00E42A5B">
        <w:tc>
          <w:tcPr>
            <w:tcW w:w="3401" w:type="dxa"/>
          </w:tcPr>
          <w:p w:rsidR="00DF6116" w:rsidRDefault="00DF6116" w:rsidP="00906988">
            <w:pPr>
              <w:pStyle w:val="anslagstabell"/>
            </w:pPr>
            <w:r>
              <w:t>Förändring av administrationskostnader</w:t>
            </w:r>
          </w:p>
        </w:tc>
        <w:tc>
          <w:tcPr>
            <w:tcW w:w="1156" w:type="dxa"/>
          </w:tcPr>
          <w:p w:rsidR="00DF6116" w:rsidRPr="00DF6116" w:rsidRDefault="00DF6116" w:rsidP="00DF6116">
            <w:pPr>
              <w:pStyle w:val="anslagstabell-hgerstlld"/>
            </w:pPr>
            <w:r w:rsidRPr="00DF6116">
              <w:t>+14 000</w:t>
            </w:r>
          </w:p>
        </w:tc>
        <w:tc>
          <w:tcPr>
            <w:tcW w:w="1157" w:type="dxa"/>
          </w:tcPr>
          <w:p w:rsidR="00DF6116" w:rsidRPr="00DF6116" w:rsidRDefault="00DF6116" w:rsidP="007A368E">
            <w:pPr>
              <w:pStyle w:val="anslagstabell-hgerstlld"/>
            </w:pPr>
            <w:r w:rsidRPr="00DF6116">
              <w:t>+1</w:t>
            </w:r>
            <w:r w:rsidR="007A368E">
              <w:t>2</w:t>
            </w:r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r w:rsidRPr="00DF6116">
              <w:t>+14 000</w:t>
            </w:r>
          </w:p>
        </w:tc>
        <w:tc>
          <w:tcPr>
            <w:tcW w:w="1157" w:type="dxa"/>
          </w:tcPr>
          <w:p w:rsidR="00DF6116" w:rsidRPr="00DF6116" w:rsidRDefault="00DF6116" w:rsidP="007A368E">
            <w:pPr>
              <w:pStyle w:val="anslagstabell-hgerstlld"/>
            </w:pPr>
            <w:r w:rsidRPr="00DF6116">
              <w:t>+1</w:t>
            </w:r>
            <w:r w:rsidR="007A368E">
              <w:t>7</w:t>
            </w:r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r w:rsidRPr="00DF6116">
              <w:t>0</w:t>
            </w:r>
          </w:p>
        </w:tc>
      </w:tr>
      <w:tr w:rsidR="00DF6116" w:rsidRPr="00B44852" w:rsidTr="00E42A5B">
        <w:tc>
          <w:tcPr>
            <w:tcW w:w="3401" w:type="dxa"/>
          </w:tcPr>
          <w:p w:rsidR="00DF6116" w:rsidRPr="00E42A5B" w:rsidRDefault="00DF6116" w:rsidP="00906988">
            <w:pPr>
              <w:pStyle w:val="anslagstabell"/>
              <w:rPr>
                <w:b/>
              </w:rPr>
            </w:pPr>
            <w:r w:rsidRPr="00E42A5B">
              <w:rPr>
                <w:b/>
              </w:rPr>
              <w:t>Ny prognos utgifter under utgiftstaket</w:t>
            </w:r>
          </w:p>
        </w:tc>
        <w:tc>
          <w:tcPr>
            <w:tcW w:w="1156" w:type="dxa"/>
          </w:tcPr>
          <w:p w:rsidR="00DF6116" w:rsidRPr="00320B63" w:rsidRDefault="00DF6116" w:rsidP="00DF6116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285 3</w:t>
            </w:r>
            <w:r>
              <w:rPr>
                <w:b/>
              </w:rPr>
              <w:t>97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300 </w:t>
            </w:r>
            <w:r w:rsidR="007A368E">
              <w:rPr>
                <w:b/>
              </w:rPr>
              <w:t>637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316 </w:t>
            </w:r>
            <w:r w:rsidR="007A368E">
              <w:rPr>
                <w:b/>
              </w:rPr>
              <w:t>421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328 1</w:t>
            </w:r>
            <w:r>
              <w:rPr>
                <w:b/>
              </w:rPr>
              <w:t>9</w:t>
            </w:r>
            <w:r w:rsidR="007A368E">
              <w:rPr>
                <w:b/>
              </w:rPr>
              <w:t>8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338 1</w:t>
            </w:r>
            <w:r w:rsidR="007A368E">
              <w:rPr>
                <w:b/>
              </w:rPr>
              <w:t>06</w:t>
            </w:r>
            <w:r w:rsidRPr="00320B63">
              <w:rPr>
                <w:b/>
              </w:rPr>
              <w:t xml:space="preserve"> 000</w:t>
            </w:r>
          </w:p>
        </w:tc>
      </w:tr>
      <w:tr w:rsidR="00DF6116" w:rsidRPr="00B44852" w:rsidTr="00E42A5B">
        <w:tc>
          <w:tcPr>
            <w:tcW w:w="3401" w:type="dxa"/>
          </w:tcPr>
          <w:p w:rsidR="00DF6116" w:rsidRPr="00B44852" w:rsidRDefault="00DF6116" w:rsidP="00906988">
            <w:pPr>
              <w:pStyle w:val="anslagstabell"/>
            </w:pPr>
            <w:r>
              <w:t>Förändrad prognos för premiepensioner</w:t>
            </w:r>
          </w:p>
        </w:tc>
        <w:tc>
          <w:tcPr>
            <w:tcW w:w="1156" w:type="dxa"/>
          </w:tcPr>
          <w:p w:rsidR="00DF6116" w:rsidRPr="00DF6116" w:rsidRDefault="00DF6116" w:rsidP="00DF6116">
            <w:pPr>
              <w:pStyle w:val="anslagstabell-hgerstlld"/>
            </w:pPr>
            <w:proofErr w:type="gramStart"/>
            <w:r w:rsidRPr="00DF6116">
              <w:t>–11</w:t>
            </w:r>
            <w:proofErr w:type="gramEnd"/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proofErr w:type="gramStart"/>
            <w:r w:rsidRPr="00DF6116">
              <w:t>–387</w:t>
            </w:r>
            <w:proofErr w:type="gramEnd"/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proofErr w:type="gramStart"/>
            <w:r w:rsidRPr="00DF6116">
              <w:t>–463</w:t>
            </w:r>
            <w:proofErr w:type="gramEnd"/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proofErr w:type="gramStart"/>
            <w:r w:rsidRPr="00DF6116">
              <w:t>–554</w:t>
            </w:r>
            <w:proofErr w:type="gramEnd"/>
            <w:r w:rsidRPr="00DF6116">
              <w:t xml:space="preserve"> 000</w:t>
            </w:r>
          </w:p>
        </w:tc>
        <w:tc>
          <w:tcPr>
            <w:tcW w:w="1157" w:type="dxa"/>
          </w:tcPr>
          <w:p w:rsidR="00DF6116" w:rsidRPr="00DF6116" w:rsidRDefault="00DF6116" w:rsidP="00DF6116">
            <w:pPr>
              <w:pStyle w:val="anslagstabell-hgerstlld"/>
            </w:pPr>
            <w:proofErr w:type="gramStart"/>
            <w:r w:rsidRPr="00DF6116">
              <w:t>–650</w:t>
            </w:r>
            <w:proofErr w:type="gramEnd"/>
            <w:r w:rsidRPr="00DF6116">
              <w:t xml:space="preserve"> 000</w:t>
            </w:r>
          </w:p>
        </w:tc>
      </w:tr>
      <w:tr w:rsidR="00DF6116" w:rsidRPr="008244FA" w:rsidTr="00E42A5B">
        <w:tc>
          <w:tcPr>
            <w:tcW w:w="3401" w:type="dxa"/>
            <w:tcBorders>
              <w:bottom w:val="single" w:sz="4" w:space="0" w:color="auto"/>
            </w:tcBorders>
          </w:tcPr>
          <w:p w:rsidR="00DF6116" w:rsidRPr="008244FA" w:rsidRDefault="00DF6116" w:rsidP="00906988">
            <w:pPr>
              <w:pStyle w:val="anslagstabell"/>
              <w:rPr>
                <w:b/>
              </w:rPr>
            </w:pPr>
            <w:r w:rsidRPr="008244FA">
              <w:rPr>
                <w:b/>
              </w:rPr>
              <w:t xml:space="preserve">Ny prognos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F6116" w:rsidRPr="00320B63" w:rsidRDefault="00DF6116" w:rsidP="00DF6116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293 0</w:t>
            </w:r>
            <w:r>
              <w:rPr>
                <w:b/>
              </w:rPr>
              <w:t>33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309 </w:t>
            </w:r>
            <w:r w:rsidR="007A368E">
              <w:rPr>
                <w:b/>
              </w:rPr>
              <w:t>479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32</w:t>
            </w:r>
            <w:r w:rsidR="007A368E">
              <w:rPr>
                <w:b/>
              </w:rPr>
              <w:t>6</w:t>
            </w:r>
            <w:r w:rsidRPr="00320B63">
              <w:rPr>
                <w:b/>
              </w:rPr>
              <w:t> </w:t>
            </w:r>
            <w:r w:rsidR="007A368E">
              <w:rPr>
                <w:b/>
              </w:rPr>
              <w:t>994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34</w:t>
            </w:r>
            <w:r>
              <w:rPr>
                <w:b/>
              </w:rPr>
              <w:t>0</w:t>
            </w:r>
            <w:r w:rsidRPr="00320B63">
              <w:rPr>
                <w:b/>
              </w:rPr>
              <w:t> </w:t>
            </w:r>
            <w:r>
              <w:rPr>
                <w:b/>
              </w:rPr>
              <w:t>82</w:t>
            </w:r>
            <w:r w:rsidR="007A368E">
              <w:rPr>
                <w:b/>
              </w:rPr>
              <w:t>8</w:t>
            </w:r>
            <w:r w:rsidRPr="00320B63">
              <w:rPr>
                <w:b/>
              </w:rPr>
              <w:t xml:space="preserve"> 000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320B63" w:rsidRDefault="00DF6116" w:rsidP="007A368E">
            <w:pPr>
              <w:pStyle w:val="anslagstabell-hgerstlld"/>
              <w:rPr>
                <w:b/>
              </w:rPr>
            </w:pPr>
            <w:r w:rsidRPr="00320B63">
              <w:rPr>
                <w:b/>
              </w:rPr>
              <w:t>353 </w:t>
            </w:r>
            <w:r>
              <w:rPr>
                <w:b/>
              </w:rPr>
              <w:t>1</w:t>
            </w:r>
            <w:r w:rsidR="007A368E">
              <w:rPr>
                <w:b/>
              </w:rPr>
              <w:t>78</w:t>
            </w:r>
            <w:r w:rsidRPr="00320B63">
              <w:rPr>
                <w:b/>
              </w:rPr>
              <w:t xml:space="preserve"> 000</w:t>
            </w:r>
          </w:p>
        </w:tc>
      </w:tr>
      <w:tr w:rsidR="00DF6116" w:rsidRPr="008244FA" w:rsidTr="00E42A5B"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8244FA" w:rsidRDefault="00DF6116" w:rsidP="00906988">
            <w:pPr>
              <w:pStyle w:val="anslagstabell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7B6C56" w:rsidRDefault="00DF6116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7B6C56" w:rsidRDefault="00DF6116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7B6C56" w:rsidRDefault="00DF6116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7B6C56" w:rsidRDefault="00DF6116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DF6116" w:rsidRPr="007B6C56" w:rsidRDefault="00DF6116" w:rsidP="00906988">
            <w:pPr>
              <w:pStyle w:val="anslagstabell"/>
              <w:jc w:val="right"/>
              <w:rPr>
                <w:b/>
                <w:color w:val="C00000"/>
              </w:rPr>
            </w:pPr>
          </w:p>
        </w:tc>
      </w:tr>
      <w:tr w:rsidR="00DF6116" w:rsidRPr="00320B63" w:rsidTr="00E42A5B">
        <w:tc>
          <w:tcPr>
            <w:tcW w:w="3401" w:type="dxa"/>
            <w:tcBorders>
              <w:top w:val="single" w:sz="4" w:space="0" w:color="auto"/>
            </w:tcBorders>
          </w:tcPr>
          <w:p w:rsidR="00DF6116" w:rsidRPr="00F935F7" w:rsidRDefault="00DF6116" w:rsidP="00906988">
            <w:pPr>
              <w:pStyle w:val="anslagstabell"/>
            </w:pPr>
            <w:r w:rsidRPr="00F935F7">
              <w:t xml:space="preserve">Differens i </w:t>
            </w:r>
            <w:r>
              <w:t xml:space="preserve">1000-tal </w:t>
            </w:r>
            <w:r w:rsidRPr="00F935F7">
              <w:t>kronor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DF6116" w:rsidRPr="007A368E" w:rsidRDefault="00DF6116" w:rsidP="00DF6116">
            <w:pPr>
              <w:pStyle w:val="anslagstabell-hgerstlld"/>
            </w:pPr>
            <w:r w:rsidRPr="007A368E">
              <w:t>+3 000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</w:t>
            </w:r>
            <w:r w:rsidR="007A368E" w:rsidRPr="007A368E">
              <w:t>499</w:t>
            </w:r>
            <w:proofErr w:type="gramEnd"/>
            <w:r w:rsidRPr="007A368E"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</w:t>
            </w:r>
            <w:r w:rsidR="007A368E" w:rsidRPr="007A368E">
              <w:t>628</w:t>
            </w:r>
            <w:proofErr w:type="gramEnd"/>
            <w:r w:rsidRPr="007A368E"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–5</w:t>
            </w:r>
            <w:r w:rsidR="007A368E" w:rsidRPr="007A368E">
              <w:t>37</w:t>
            </w:r>
            <w:proofErr w:type="gramEnd"/>
            <w:r w:rsidRPr="007A368E">
              <w:t xml:space="preserve"> 000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–6</w:t>
            </w:r>
            <w:r w:rsidR="007A368E" w:rsidRPr="007A368E">
              <w:t>50</w:t>
            </w:r>
            <w:proofErr w:type="gramEnd"/>
            <w:r w:rsidRPr="007A368E">
              <w:t xml:space="preserve"> 000</w:t>
            </w:r>
          </w:p>
        </w:tc>
      </w:tr>
      <w:tr w:rsidR="00DF6116" w:rsidRPr="00320B63" w:rsidTr="00E42A5B">
        <w:tc>
          <w:tcPr>
            <w:tcW w:w="3401" w:type="dxa"/>
            <w:tcBorders>
              <w:bottom w:val="single" w:sz="4" w:space="0" w:color="auto"/>
            </w:tcBorders>
          </w:tcPr>
          <w:p w:rsidR="00DF6116" w:rsidRPr="00F935F7" w:rsidRDefault="00DF6116" w:rsidP="00906988">
            <w:pPr>
              <w:pStyle w:val="anslagstabell"/>
              <w:keepNext w:val="0"/>
            </w:pPr>
            <w:r w:rsidRPr="00F935F7">
              <w:t>Differens i procent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DF6116" w:rsidRPr="007A368E" w:rsidRDefault="00DF6116" w:rsidP="00906988">
            <w:pPr>
              <w:pStyle w:val="anslagstabell-hgerstlld"/>
            </w:pPr>
            <w:r w:rsidRPr="007A368E">
              <w:t>0,0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–0</w:t>
            </w:r>
            <w:proofErr w:type="gramEnd"/>
            <w:r w:rsidRPr="007A368E">
              <w:t>,</w:t>
            </w:r>
            <w:r w:rsidR="007A368E" w:rsidRPr="007A368E"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7A368E" w:rsidRDefault="00DF6116" w:rsidP="007A368E">
            <w:pPr>
              <w:pStyle w:val="anslagstabell-hgerstlld"/>
            </w:pPr>
            <w:proofErr w:type="gramStart"/>
            <w:r w:rsidRPr="007A368E">
              <w:t>–0</w:t>
            </w:r>
            <w:proofErr w:type="gramEnd"/>
            <w:r w:rsidRPr="007A368E">
              <w:t>,</w:t>
            </w:r>
            <w:r w:rsidR="007A368E" w:rsidRPr="007A368E">
              <w:t>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7A368E" w:rsidRDefault="00DF6116" w:rsidP="00DF6116">
            <w:pPr>
              <w:pStyle w:val="anslagstabell-hgerstlld"/>
            </w:pPr>
            <w:proofErr w:type="gramStart"/>
            <w:r w:rsidRPr="007A368E">
              <w:t>–0</w:t>
            </w:r>
            <w:proofErr w:type="gramEnd"/>
            <w:r w:rsidRPr="007A368E">
              <w:t>,2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DF6116" w:rsidRPr="007A368E" w:rsidRDefault="00DF6116" w:rsidP="00320B63">
            <w:pPr>
              <w:pStyle w:val="anslagstabell-hgerstlld"/>
            </w:pPr>
            <w:proofErr w:type="gramStart"/>
            <w:r w:rsidRPr="007A368E">
              <w:t>–0</w:t>
            </w:r>
            <w:proofErr w:type="gramEnd"/>
            <w:r w:rsidRPr="007A368E">
              <w:t>,2</w:t>
            </w:r>
          </w:p>
        </w:tc>
      </w:tr>
    </w:tbl>
    <w:p w:rsidR="005C58EB" w:rsidRPr="00B44852" w:rsidRDefault="005C58EB" w:rsidP="005C58EB">
      <w:pPr>
        <w:pStyle w:val="Rubrik4"/>
      </w:pPr>
      <w:r w:rsidRPr="00B44852">
        <w:t>Ändrade makroekonomiska antaganden</w:t>
      </w:r>
    </w:p>
    <w:p w:rsidR="005C58EB" w:rsidRPr="001F6A10" w:rsidRDefault="00C0368C" w:rsidP="005C58EB">
      <w:r>
        <w:t>U</w:t>
      </w:r>
      <w:r w:rsidR="004066A9" w:rsidRPr="007A368E">
        <w:t>tgiftsprognosen för inkomstpensioner och tilläggs</w:t>
      </w:r>
      <w:r w:rsidR="007A368E" w:rsidRPr="007A368E">
        <w:softHyphen/>
      </w:r>
      <w:r w:rsidR="004066A9" w:rsidRPr="001F6A10">
        <w:t>pensioner</w:t>
      </w:r>
      <w:r w:rsidR="007A368E">
        <w:t xml:space="preserve"> </w:t>
      </w:r>
      <w:r>
        <w:t>har sänkts något för 2017 och 2018 på grund av den ändrade prognosen för balansindex.</w:t>
      </w:r>
      <w:r w:rsidR="004066A9" w:rsidRPr="001F6A10">
        <w:t xml:space="preserve"> </w:t>
      </w:r>
    </w:p>
    <w:p w:rsidR="005C58EB" w:rsidRPr="002C4E81" w:rsidRDefault="005C58EB" w:rsidP="005C58EB">
      <w:pPr>
        <w:pStyle w:val="Rubrik4"/>
      </w:pPr>
      <w:r w:rsidRPr="002C4E81">
        <w:t>Förändring av administrationskostnader</w:t>
      </w:r>
    </w:p>
    <w:p w:rsidR="005A1038" w:rsidRPr="00A31C75" w:rsidRDefault="007601C3" w:rsidP="005A1038">
      <w:pPr>
        <w:rPr>
          <w:color w:val="0070C0"/>
        </w:rPr>
      </w:pPr>
      <w:r w:rsidRPr="00BC2E51">
        <w:t>För 201</w:t>
      </w:r>
      <w:r w:rsidR="0040263F" w:rsidRPr="00BC2E51">
        <w:t>5</w:t>
      </w:r>
      <w:r w:rsidRPr="00BC2E51">
        <w:t xml:space="preserve"> blev utfallet </w:t>
      </w:r>
      <w:r w:rsidR="008E7FF6" w:rsidRPr="00BC2E51">
        <w:t xml:space="preserve">preliminärt </w:t>
      </w:r>
      <w:r w:rsidR="000B4246" w:rsidRPr="00BC2E51">
        <w:t>högre</w:t>
      </w:r>
      <w:r w:rsidRPr="00BC2E51">
        <w:t xml:space="preserve"> </w:t>
      </w:r>
      <w:r w:rsidR="00EB246A" w:rsidRPr="00BC2E51">
        <w:t>för AP-fondernas</w:t>
      </w:r>
      <w:r w:rsidR="00032E1A" w:rsidRPr="00BC2E51">
        <w:t xml:space="preserve"> provisions</w:t>
      </w:r>
      <w:r w:rsidR="00032E1A" w:rsidRPr="00BC2E51">
        <w:softHyphen/>
        <w:t xml:space="preserve">kostnader </w:t>
      </w:r>
      <w:r w:rsidR="007A368E">
        <w:t>men lägre för</w:t>
      </w:r>
      <w:r w:rsidR="00BC2E51" w:rsidRPr="00BC2E51">
        <w:t xml:space="preserve"> </w:t>
      </w:r>
      <w:r w:rsidR="00032E1A" w:rsidRPr="00BC2E51">
        <w:t>interna administrations</w:t>
      </w:r>
      <w:r w:rsidR="00032E1A" w:rsidRPr="00BC2E51">
        <w:softHyphen/>
        <w:t xml:space="preserve">kostnader jämfört med föregående prognos. </w:t>
      </w:r>
      <w:r w:rsidR="00032E1A" w:rsidRPr="00032E1A">
        <w:t>Detta har föranlett justeringar av prognosen för dessa utgifter.</w:t>
      </w:r>
      <w:r w:rsidR="001B00E0">
        <w:t xml:space="preserve"> </w:t>
      </w:r>
      <w:r w:rsidR="00EB246A" w:rsidRPr="00A31C75">
        <w:rPr>
          <w:color w:val="0070C0"/>
        </w:rPr>
        <w:t xml:space="preserve"> </w:t>
      </w:r>
      <w:bookmarkEnd w:id="5"/>
    </w:p>
    <w:p w:rsidR="00A07FD5" w:rsidRDefault="00AF07C0" w:rsidP="00A07FD5">
      <w:pPr>
        <w:pStyle w:val="Rubrik4"/>
      </w:pPr>
      <w:r>
        <w:t>Förä</w:t>
      </w:r>
      <w:r w:rsidR="00A07FD5">
        <w:t>ndrad prognos för premiepensioner</w:t>
      </w:r>
    </w:p>
    <w:p w:rsidR="00A07FD5" w:rsidRPr="00A31C75" w:rsidRDefault="00A07FD5" w:rsidP="00A07FD5">
      <w:pPr>
        <w:rPr>
          <w:color w:val="0070C0"/>
        </w:rPr>
      </w:pPr>
      <w:r w:rsidRPr="00032E1A">
        <w:t xml:space="preserve">Utgiftsprognosen för premiepensioner har </w:t>
      </w:r>
      <w:r w:rsidR="0040263F">
        <w:t>sänkts</w:t>
      </w:r>
      <w:r w:rsidRPr="00032E1A">
        <w:t xml:space="preserve"> på grund av utvecklingen av aktiekurserna under januari 201</w:t>
      </w:r>
      <w:r w:rsidR="0040263F">
        <w:t>6</w:t>
      </w:r>
      <w:r w:rsidRPr="00032E1A">
        <w:t>.</w:t>
      </w:r>
    </w:p>
    <w:sectPr w:rsidR="00A07FD5" w:rsidRPr="00A31C75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2268" w:bottom="113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B00" w:rsidRDefault="006F0B00">
      <w:r>
        <w:separator/>
      </w:r>
    </w:p>
  </w:endnote>
  <w:endnote w:type="continuationSeparator" w:id="0">
    <w:p w:rsidR="006F0B00" w:rsidRDefault="006F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00" w:rsidRDefault="006F0B00">
    <w:pPr>
      <w:pStyle w:val="Sidfot"/>
      <w:ind w:right="360" w:firstLine="36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B00" w:rsidRDefault="006F0B00">
    <w:pPr>
      <w:pStyle w:val="Sidfot"/>
      <w:ind w:right="360" w:firstLine="360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E4420">
      <w:rPr>
        <w:rStyle w:val="Sidnummer"/>
        <w:noProof/>
      </w:rPr>
      <w:t>3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1" w:type="dxa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58"/>
      <w:gridCol w:w="2381"/>
      <w:gridCol w:w="1474"/>
      <w:gridCol w:w="1474"/>
      <w:gridCol w:w="2098"/>
      <w:gridCol w:w="1191"/>
    </w:tblGrid>
    <w:tr w:rsidR="006F0B00">
      <w:tc>
        <w:tcPr>
          <w:tcW w:w="1758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Postadress</w:t>
          </w:r>
        </w:p>
      </w:tc>
      <w:tc>
        <w:tcPr>
          <w:tcW w:w="2381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Besöksadress</w:t>
          </w:r>
        </w:p>
      </w:tc>
      <w:tc>
        <w:tcPr>
          <w:tcW w:w="1474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Telefonnummer</w:t>
          </w:r>
        </w:p>
      </w:tc>
      <w:tc>
        <w:tcPr>
          <w:tcW w:w="1474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tabs>
              <w:tab w:val="left" w:pos="355"/>
            </w:tabs>
            <w:spacing w:before="100"/>
            <w:ind w:firstLine="4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Telefaxnummer</w:t>
          </w:r>
        </w:p>
      </w:tc>
      <w:tc>
        <w:tcPr>
          <w:tcW w:w="2098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E-postadress</w:t>
          </w:r>
        </w:p>
      </w:tc>
      <w:tc>
        <w:tcPr>
          <w:tcW w:w="1191" w:type="dxa"/>
          <w:tcBorders>
            <w:top w:val="single" w:sz="6" w:space="0" w:color="auto"/>
          </w:tcBorders>
        </w:tcPr>
        <w:p w:rsidR="006F0B00" w:rsidRDefault="006F0B00">
          <w:pPr>
            <w:pStyle w:val="Sidfot"/>
            <w:spacing w:before="100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Hemsida</w:t>
          </w:r>
        </w:p>
      </w:tc>
    </w:tr>
    <w:tr w:rsidR="006F0B00">
      <w:tc>
        <w:tcPr>
          <w:tcW w:w="1758" w:type="dxa"/>
        </w:tcPr>
        <w:p w:rsidR="006F0B00" w:rsidRDefault="006F0B00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2381" w:type="dxa"/>
        </w:tcPr>
        <w:p w:rsidR="006F0B00" w:rsidRDefault="006F0B00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:rsidR="006F0B00" w:rsidRDefault="006F0B00">
          <w:pPr>
            <w:pStyle w:val="Sidfot"/>
            <w:spacing w:before="40"/>
            <w:rPr>
              <w:rFonts w:ascii="Arial" w:hAnsi="Arial"/>
              <w:sz w:val="16"/>
            </w:rPr>
          </w:pPr>
        </w:p>
      </w:tc>
      <w:tc>
        <w:tcPr>
          <w:tcW w:w="1474" w:type="dxa"/>
        </w:tcPr>
        <w:p w:rsidR="006F0B00" w:rsidRDefault="006F0B00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</w:p>
      </w:tc>
      <w:tc>
        <w:tcPr>
          <w:tcW w:w="2098" w:type="dxa"/>
        </w:tcPr>
        <w:p w:rsidR="006F0B00" w:rsidRDefault="006F0B00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</w:p>
      </w:tc>
      <w:tc>
        <w:tcPr>
          <w:tcW w:w="1191" w:type="dxa"/>
        </w:tcPr>
        <w:p w:rsidR="006F0B00" w:rsidRDefault="006F0B00">
          <w:pPr>
            <w:pStyle w:val="Sidfot"/>
            <w:tabs>
              <w:tab w:val="left" w:pos="355"/>
            </w:tabs>
            <w:spacing w:before="40"/>
            <w:ind w:firstLine="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www.rfv.se</w:t>
          </w:r>
        </w:p>
      </w:tc>
    </w:tr>
  </w:tbl>
  <w:p w:rsidR="006F0B00" w:rsidRDefault="006F0B0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B00" w:rsidRDefault="006F0B00">
      <w:r>
        <w:separator/>
      </w:r>
    </w:p>
  </w:footnote>
  <w:footnote w:type="continuationSeparator" w:id="0">
    <w:p w:rsidR="006F0B00" w:rsidRDefault="006F0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34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431"/>
      <w:gridCol w:w="979"/>
    </w:tblGrid>
    <w:tr w:rsidR="006F0B00">
      <w:trPr>
        <w:cantSplit/>
        <w:trHeight w:hRule="exact" w:val="440"/>
      </w:trPr>
      <w:tc>
        <w:tcPr>
          <w:tcW w:w="5216" w:type="dxa"/>
        </w:tcPr>
        <w:p w:rsidR="006F0B00" w:rsidRDefault="006F0B00">
          <w:pPr>
            <w:pStyle w:val="Sidhuvud"/>
          </w:pPr>
          <w:r>
            <w:drawing>
              <wp:inline distT="0" distB="0" distL="0" distR="0" wp14:anchorId="42B87F9D" wp14:editId="3B0475B7">
                <wp:extent cx="2165350" cy="273050"/>
                <wp:effectExtent l="0" t="0" r="0" b="0"/>
                <wp:docPr id="2" name="Bild 2" descr="LNG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NG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53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9" w:type="dxa"/>
          <w:gridSpan w:val="2"/>
        </w:tcPr>
        <w:p w:rsidR="006F0B00" w:rsidRDefault="006F0B00">
          <w:pPr>
            <w:pStyle w:val="Sidhuvud"/>
            <w:spacing w:before="20"/>
            <w:rPr>
              <w:b/>
              <w:caps/>
              <w:sz w:val="23"/>
            </w:rPr>
          </w:pPr>
          <w:r>
            <w:rPr>
              <w:b/>
              <w:caps/>
              <w:sz w:val="23"/>
            </w:rPr>
            <w:fldChar w:fldCharType="begin"/>
          </w:r>
          <w:r>
            <w:rPr>
              <w:b/>
              <w:caps/>
              <w:sz w:val="23"/>
            </w:rPr>
            <w:instrText xml:space="preserve"> MACROBUTTON NoMacro</w:instrText>
          </w:r>
          <w:r>
            <w:rPr>
              <w:b/>
              <w:caps/>
              <w:color w:val="FFFFFF"/>
              <w:sz w:val="23"/>
            </w:rPr>
            <w:instrText xml:space="preserve"> Dokumenttyp</w:instrText>
          </w:r>
          <w:r>
            <w:rPr>
              <w:b/>
              <w:caps/>
              <w:sz w:val="23"/>
            </w:rPr>
            <w:instrText xml:space="preserve">    </w:instrText>
          </w:r>
          <w:r>
            <w:rPr>
              <w:b/>
              <w:caps/>
              <w:sz w:val="23"/>
            </w:rPr>
            <w:fldChar w:fldCharType="end"/>
          </w:r>
        </w:p>
      </w:tc>
      <w:tc>
        <w:tcPr>
          <w:tcW w:w="979" w:type="dxa"/>
        </w:tcPr>
        <w:p w:rsidR="006F0B00" w:rsidRDefault="006F0B00">
          <w:pPr>
            <w:pStyle w:val="Sidhuvud"/>
            <w:jc w:val="right"/>
          </w:pPr>
        </w:p>
      </w:tc>
    </w:tr>
    <w:tr w:rsidR="006F0B00">
      <w:trPr>
        <w:cantSplit/>
        <w:trHeight w:hRule="exact" w:val="240"/>
      </w:trPr>
      <w:tc>
        <w:tcPr>
          <w:tcW w:w="5216" w:type="dxa"/>
        </w:tcPr>
        <w:p w:rsidR="006F0B00" w:rsidRDefault="006F0B00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MACROBUTTON NoMacro</w:instrText>
          </w:r>
          <w:r>
            <w:rPr>
              <w:color w:val="FFFFFF"/>
              <w:sz w:val="16"/>
            </w:rPr>
            <w:instrText xml:space="preserve"> Enhet</w:instrText>
          </w:r>
          <w:r>
            <w:rPr>
              <w:sz w:val="16"/>
            </w:rPr>
            <w:instrText xml:space="preserve">    </w:instrText>
          </w:r>
          <w:r>
            <w:rPr>
              <w:sz w:val="16"/>
            </w:rPr>
            <w:fldChar w:fldCharType="end"/>
          </w:r>
        </w:p>
      </w:tc>
      <w:tc>
        <w:tcPr>
          <w:tcW w:w="2608" w:type="dxa"/>
        </w:tcPr>
        <w:p w:rsidR="006F0B00" w:rsidRDefault="006F0B00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Datum</w:t>
          </w:r>
        </w:p>
      </w:tc>
      <w:tc>
        <w:tcPr>
          <w:tcW w:w="2410" w:type="dxa"/>
          <w:gridSpan w:val="2"/>
        </w:tcPr>
        <w:p w:rsidR="006F0B00" w:rsidRDefault="006F0B00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Vår beteckning</w:t>
          </w:r>
        </w:p>
      </w:tc>
    </w:tr>
    <w:tr w:rsidR="006F0B00">
      <w:trPr>
        <w:cantSplit/>
        <w:trHeight w:hRule="exact" w:val="240"/>
      </w:trPr>
      <w:tc>
        <w:tcPr>
          <w:tcW w:w="5216" w:type="dxa"/>
        </w:tcPr>
        <w:p w:rsidR="006F0B00" w:rsidRDefault="006F0B00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MACROBUTTON NoMacro</w:instrText>
          </w:r>
          <w:r>
            <w:rPr>
              <w:color w:val="FFFFFF"/>
              <w:sz w:val="16"/>
            </w:rPr>
            <w:instrText xml:space="preserve"> Namn</w:instrText>
          </w:r>
          <w:r>
            <w:rPr>
              <w:sz w:val="16"/>
            </w:rPr>
            <w:instrText xml:space="preserve">    </w:instrText>
          </w:r>
          <w:r>
            <w:rPr>
              <w:sz w:val="16"/>
            </w:rPr>
            <w:fldChar w:fldCharType="end"/>
          </w:r>
        </w:p>
      </w:tc>
      <w:tc>
        <w:tcPr>
          <w:tcW w:w="2608" w:type="dxa"/>
        </w:tcPr>
        <w:p w:rsidR="006F0B00" w:rsidRDefault="006F0B00">
          <w:pPr>
            <w:pStyle w:val="Sidhuvud"/>
            <w:spacing w:line="220" w:lineRule="exact"/>
          </w:pPr>
        </w:p>
      </w:tc>
      <w:tc>
        <w:tcPr>
          <w:tcW w:w="2410" w:type="dxa"/>
          <w:gridSpan w:val="2"/>
        </w:tcPr>
        <w:p w:rsidR="006F0B00" w:rsidRDefault="006F0B00">
          <w:pPr>
            <w:pStyle w:val="Sidhuvud"/>
            <w:spacing w:line="220" w:lineRule="exact"/>
          </w:pPr>
          <w:r>
            <w:fldChar w:fldCharType="begin"/>
          </w:r>
          <w:r>
            <w:instrText xml:space="preserve"> MACROBUTTON NoMacro</w:instrText>
          </w:r>
          <w:r>
            <w:rPr>
              <w:color w:val="FFFFFF"/>
            </w:rPr>
            <w:instrText xml:space="preserve"> Diareinummer</w:instrText>
          </w:r>
          <w:r>
            <w:instrText xml:space="preserve">    </w:instrText>
          </w:r>
          <w:r>
            <w:fldChar w:fldCharType="end"/>
          </w:r>
        </w:p>
      </w:tc>
    </w:tr>
  </w:tbl>
  <w:p w:rsidR="006F0B00" w:rsidRDefault="006F0B00">
    <w:pPr>
      <w:pStyle w:val="Sidhuvud"/>
    </w:pPr>
  </w:p>
  <w:p w:rsidR="006F0B00" w:rsidRDefault="006F0B0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4181"/>
      <w:gridCol w:w="851"/>
    </w:tblGrid>
    <w:tr w:rsidR="006F0B00">
      <w:trPr>
        <w:cantSplit/>
        <w:trHeight w:hRule="exact" w:val="440"/>
      </w:trPr>
      <w:tc>
        <w:tcPr>
          <w:tcW w:w="5216" w:type="dxa"/>
        </w:tcPr>
        <w:p w:rsidR="006F0B00" w:rsidRDefault="006F0B00">
          <w:pPr>
            <w:pStyle w:val="Sidhuvud"/>
          </w:pPr>
          <w:r>
            <w:drawing>
              <wp:inline distT="0" distB="0" distL="0" distR="0" wp14:anchorId="3CBBF185" wp14:editId="112D5E26">
                <wp:extent cx="2203450" cy="279400"/>
                <wp:effectExtent l="0" t="0" r="0" b="0"/>
                <wp:docPr id="3" name="Bild 3" descr="LNGFRG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NGFRG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34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1" w:type="dxa"/>
        </w:tcPr>
        <w:p w:rsidR="006F0B00" w:rsidRDefault="006F0B00">
          <w:pPr>
            <w:pStyle w:val="Sidhuvud"/>
            <w:spacing w:before="20"/>
            <w:rPr>
              <w:b/>
              <w:caps/>
              <w:sz w:val="23"/>
            </w:rPr>
          </w:pPr>
        </w:p>
      </w:tc>
      <w:tc>
        <w:tcPr>
          <w:tcW w:w="851" w:type="dxa"/>
        </w:tcPr>
        <w:p w:rsidR="006F0B00" w:rsidRDefault="006F0B00">
          <w:pPr>
            <w:pStyle w:val="Sidhuvud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t>)</w:t>
          </w:r>
        </w:p>
      </w:tc>
    </w:tr>
  </w:tbl>
  <w:p w:rsidR="006F0B00" w:rsidRDefault="006F0B00">
    <w:pPr>
      <w:rPr>
        <w:sz w:val="2"/>
      </w:rPr>
    </w:pPr>
  </w:p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2424"/>
    </w:tblGrid>
    <w:tr w:rsidR="006F0B00">
      <w:trPr>
        <w:cantSplit/>
        <w:trHeight w:hRule="exact" w:val="240"/>
      </w:trPr>
      <w:tc>
        <w:tcPr>
          <w:tcW w:w="5216" w:type="dxa"/>
        </w:tcPr>
        <w:p w:rsidR="006F0B00" w:rsidRDefault="006F0B00">
          <w:pPr>
            <w:pStyle w:val="Sidhuvud"/>
            <w:spacing w:line="220" w:lineRule="exact"/>
            <w:rPr>
              <w:sz w:val="16"/>
            </w:rPr>
          </w:pPr>
        </w:p>
      </w:tc>
      <w:tc>
        <w:tcPr>
          <w:tcW w:w="2608" w:type="dxa"/>
        </w:tcPr>
        <w:p w:rsidR="006F0B00" w:rsidRDefault="006F0B00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Datum</w:t>
          </w:r>
        </w:p>
      </w:tc>
      <w:tc>
        <w:tcPr>
          <w:tcW w:w="2424" w:type="dxa"/>
        </w:tcPr>
        <w:p w:rsidR="006F0B00" w:rsidRDefault="006F0B00">
          <w:pPr>
            <w:pStyle w:val="Sidhuvud"/>
            <w:spacing w:line="220" w:lineRule="exact"/>
            <w:rPr>
              <w:b/>
              <w:sz w:val="16"/>
            </w:rPr>
          </w:pPr>
          <w:r>
            <w:rPr>
              <w:b/>
              <w:sz w:val="16"/>
            </w:rPr>
            <w:t>Vår beteckning</w:t>
          </w:r>
        </w:p>
      </w:tc>
    </w:tr>
  </w:tbl>
  <w:p w:rsidR="006F0B00" w:rsidRDefault="006F0B00">
    <w:pPr>
      <w:rPr>
        <w:sz w:val="2"/>
      </w:rPr>
    </w:pPr>
  </w:p>
  <w:tbl>
    <w:tblPr>
      <w:tblW w:w="0" w:type="auto"/>
      <w:tblInd w:w="-2381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454"/>
      <w:gridCol w:w="1956"/>
    </w:tblGrid>
    <w:tr w:rsidR="006F0B00">
      <w:trPr>
        <w:cantSplit/>
        <w:trHeight w:hRule="exact" w:val="240"/>
      </w:trPr>
      <w:tc>
        <w:tcPr>
          <w:tcW w:w="5216" w:type="dxa"/>
        </w:tcPr>
        <w:p w:rsidR="006F0B00" w:rsidRDefault="006F0B00">
          <w:pPr>
            <w:pStyle w:val="Sidhuvud"/>
            <w:spacing w:line="220" w:lineRule="exact"/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2608" w:type="dxa"/>
        </w:tcPr>
        <w:p w:rsidR="006F0B00" w:rsidRDefault="006F0B00">
          <w:pPr>
            <w:pStyle w:val="Sidhuvud"/>
            <w:spacing w:line="220" w:lineRule="exact"/>
          </w:pPr>
        </w:p>
      </w:tc>
      <w:tc>
        <w:tcPr>
          <w:tcW w:w="454" w:type="dxa"/>
        </w:tcPr>
        <w:p w:rsidR="006F0B00" w:rsidRDefault="006F0B00">
          <w:pPr>
            <w:pStyle w:val="Sidhuvud"/>
            <w:spacing w:line="220" w:lineRule="exact"/>
          </w:pPr>
          <w:r>
            <w:t xml:space="preserve">Dnr </w:t>
          </w:r>
        </w:p>
      </w:tc>
      <w:tc>
        <w:tcPr>
          <w:tcW w:w="1956" w:type="dxa"/>
        </w:tcPr>
        <w:p w:rsidR="006F0B00" w:rsidRDefault="006F0B00">
          <w:pPr>
            <w:pStyle w:val="Sidhuvud"/>
            <w:spacing w:line="220" w:lineRule="exact"/>
          </w:pPr>
        </w:p>
      </w:tc>
    </w:tr>
  </w:tbl>
  <w:p w:rsidR="006F0B00" w:rsidRDefault="006F0B00">
    <w:pPr>
      <w:rPr>
        <w:sz w:val="2"/>
      </w:rPr>
    </w:pPr>
  </w:p>
  <w:p w:rsidR="006F0B00" w:rsidRDefault="006F0B0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7A73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220F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A6C85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407DF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48953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C886C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E9A2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7E93D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7ECCF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8CA0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DE6CCA"/>
    <w:multiLevelType w:val="hybridMultilevel"/>
    <w:tmpl w:val="79EA6378"/>
    <w:lvl w:ilvl="0" w:tplc="B51EDD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consecutiveHyphenLimit w:val="3"/>
  <w:hyphenationZone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410558914" w:val="&lt;ContentDefinition name=&quot;Sammanställning prognoser&quot; rsid=&quot;410558914&quot; type=&quot;StoredProcess&quot; format=&quot;RTF&quot; imgfmt=&quot;ACTXIMG&quot; created=&quot;10/27/2009 09:54:37&quot; modifed=&quot;10/27/2009 11:28:52&quot; user=&quot;Ulla Östman Krantz&quot; apply=&quot;False&quot; thread=&quot;BACKGROUND&quot; css=&quot;SASweb&quot; range=&quot;Sammanställning_prognoser_2&quot; auto=&quot;False&quot; rdc=&quot;False&quot; mig=&quot;False&quot; xTime=&quot;00:00:14.8438450&quot; rTime=&quot;00:00:00.8125052&quot; bgnew=&quot;False&quot; nFmt=&quot;False&quot; grphSet=&quot;False&quot; imgY=&quot;0&quot; imgX=&quot;0&quot;&gt;_x000d__x000a_  &lt;files&gt;\\ads.sfa.se\data\hemkataloger2\g41hemkataloger\41000303\Mina dokument\My SAS Files\Add-In for Microsoft Office\_SOA_Sammanställning_prognoser_26\Sammanställning_prognoser.rtf&lt;/files&gt;_x000d__x000a_  &lt;param n=&quot;DisplayName&quot; v=&quot;Sammanställning prognoser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skriv_ingaende_data::NEJ&quot; /&gt;_x000d__x000a_  &lt;param n=&quot;UIParameters&quot; v=&quot;3&quot; /&gt;_x000d__x000a_  &lt;param n=&quot;StoredProcessID&quot; v=&quot;A5H9PEQK.B7000IL0&quot; /&gt;_x000d__x000a_  &lt;param n=&quot;StoredProcessPath&quot; v=&quot;BIP Tree/ISP/System/Sammanställning prognoser&quot; /&gt;_x000d__x000a_  &lt;param n=&quot;RepositoryName&quot; v=&quot;Foundation&quot; /&gt;_x000d__x000a_  &lt;param n=&quot;ClassName&quot; v=&quot;SAS.OfficeAddin.StoredProcess&quot; /&gt;_x000d__x000a_  &lt;ExcelXMLOptions AdjColWidths=&quot;True&quot; RowOpt=&quot;InsertEntire&quot; ColOpt=&quot;InsertCells&quot; /&gt;_x000d__x000a_&lt;/ContentDefinition&gt;"/>
    <w:docVar w:name="_AMO_ContentDefinition_590097956" w:val="&lt;ContentDefinition name=&quot;Jämförelseanalys hela prognosperioden&quot; rsid=&quot;590097956&quot; type=&quot;StoredProcess&quot; format=&quot;RTF&quot; imgfmt=&quot;ACTXIMG&quot; created=&quot;10/27/2009 09:56:04&quot; modifed=&quot;10/27/2009 10:23:31&quot; user=&quot;Ulla Östman Krantz&quot; apply=&quot;False&quot; thread=&quot;BACKGROUND&quot; css=&quot;SASweb&quot; range=&quot;Jämförelseanalys_hela_prognosperioden_4&quot; auto=&quot;False&quot; rdc=&quot;False&quot; mig=&quot;False&quot; xTime=&quot;00:00:13.4219609&quot; rTime=&quot;00:00:00.8437554&quot; bgnew=&quot;False&quot; nFmt=&quot;False&quot; grphSet=&quot;False&quot; imgY=&quot;0&quot; imgX=&quot;0&quot;&gt;_x000d__x000a_  &lt;files&gt;\\ads.sfa.se\data\hemkataloger2\g41hemkataloger\41000303\Mina dokument\My SAS Files\Add-In for Microsoft Office\_SOA_Jämförelseanalys_hela_prognosperioden_68\Jämförelseanalys_hela_prognosperioden.rtf&lt;/files&gt;_x000d__x000a_  &lt;param n=&quot;DisplayName&quot; v=&quot;Jämförelseanalys hela prognosperioden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inkludera_sap::JA&quot; /&gt;_x000d__x000a_  &lt;param n=&quot;UIParameter_3&quot; v=&quot;skriv_ingaende_data::NEJ&quot; /&gt;_x000d__x000a_  &lt;param n=&quot;UIParameter_4&quot; v=&quot;visa_detajer::NEJ&quot; /&gt;_x000d__x000a_  &lt;param n=&quot;UIParameters&quot; v=&quot;5&quot; /&gt;_x000d__x000a_  &lt;param n=&quot;StoredProcessID&quot; v=&quot;A5H9PEQK.B7000H1A&quot; /&gt;_x000d__x000a_  &lt;param n=&quot;StoredProcessPath&quot; v=&quot;BIP Tree/ISP/System/Jämförelseanalys hela prognosperioden&quot; /&gt;_x000d__x000a_  &lt;param n=&quot;RepositoryName&quot; v=&quot;Foundation&quot; /&gt;_x000d__x000a_  &lt;param n=&quot;ClassName&quot; v=&quot;SAS.OfficeAddin.StoredProcess&quot; /&gt;_x000d__x000a_  &lt;ExcelXMLOptions AdjColWidths=&quot;True&quot; RowOpt=&quot;InsertEntire&quot; ColOpt=&quot;InsertCells&quot; /&gt;_x000d__x000a_&lt;/ContentDefinition&gt;"/>
    <w:docVar w:name="_AMO_ContentDefinition_993266846" w:val="&lt;ContentDefinition name=&quot;Jämförelseanalys hela prognosperioden&quot; rsid=&quot;993266846&quot; type=&quot;StoredProcess&quot; format=&quot;RTF&quot; imgfmt=&quot;ACTXIMG&quot; created=&quot;10/27/2009 09:58:32&quot; modifed=&quot;10/27/2009 09:58:32&quot; user=&quot;Ulla Östman Krantz&quot; apply=&quot;False&quot; thread=&quot;BACKGROUND&quot; css=&quot;SASweb&quot; range=&quot;Jämförelseanalys_hela_prognosperioden_5&quot; auto=&quot;False&quot; rdc=&quot;False&quot; mig=&quot;False&quot; xTime=&quot;00:00:15.1719721&quot; rTime=&quot;00:00:01.0000064&quot; bgnew=&quot;False&quot; nFmt=&quot;False&quot; grphSet=&quot;False&quot; imgY=&quot;0&quot; imgX=&quot;0&quot;&gt;_x000d__x000a_  &lt;files&gt;\\ads.sfa.se\data\hemkataloger2\g41hemkataloger\41000303\Mina dokument\My SAS Files\Add-In for Microsoft Office\_SOA_Jämförelseanalys_hela_prognosperioden_66\Jämförelseanalys_hela_prognosperioden.rtf&lt;/files&gt;_x000d__x000a_  &lt;param n=&quot;DisplayName&quot; v=&quot;Jämförelseanalys hela prognosperioden&quot; /&gt;_x000d__x000a_  &lt;param n=&quot;ServerName&quot; v=&quot;SASMain&quot; /&gt;_x000d__x000a_  &lt;param n=&quot;ResultsOnServer&quot; v=&quot;False&quot; /&gt;_x000d__x000a_  &lt;param n=&quot;AMO_Version&quot; v=&quot;2.1&quot; /&gt;_x000d__x000a_  &lt;param n=&quot;UIParameter_0&quot; v=&quot;prognosperiod::200910&quot; /&gt;_x000d__x000a_  &lt;param n=&quot;UIParameter_1&quot; v=&quot;prognosversion::VL&quot; /&gt;_x000d__x000a_  &lt;param n=&quot;UIParameter_2&quot; v=&quot;inkludera_sap::NEJ&quot; /&gt;_x000d__x000a_  &lt;param n=&quot;UIParameter_3&quot; v=&quot;skriv_ingaende_data::NEJ&quot; /&gt;_x000d__x000a_  &lt;param n=&quot;UIParameter_4&quot; v=&quot;visa_detajer::NEJ&quot; /&gt;_x000d__x000a_  &lt;param n=&quot;UIParameters&quot; v=&quot;5&quot; /&gt;_x000d__x000a_  &lt;param n=&quot;StoredProcessID&quot; v=&quot;A5H9PEQK.B7000H1A&quot; /&gt;_x000d__x000a_  &lt;param n=&quot;StoredProcessPath&quot; v=&quot;BIP Tree/ISP/System/Jämförelseanalys hela prognosperioden&quot; /&gt;_x000d__x000a_  &lt;param n=&quot;RepositoryName&quot; v=&quot;Foundation&quot; /&gt;_x000d__x000a_  &lt;param n=&quot;ClassName&quot; v=&quot;SAS.OfficeAddin.StoredProcess&quot; /&gt;_x000d__x000a_&lt;/ContentDefinition&gt;"/>
    <w:docVar w:name="_AMO_ContentLocation_410558914_HtmlRtfResults_HtmlRtfResults" w:val="&lt;ContentLocation path=&quot;HtmlRtfResults&quot; rsid=&quot;410558914&quot; tag=&quot;HtmlRtfResults&quot; fid=&quot;0&quot; /&gt;"/>
    <w:docVar w:name="_AMO_ContentLocation_590097956_HtmlRtfResults_HtmlRtfResults" w:val="&lt;ContentLocation path=&quot;HtmlRtfResults&quot; rsid=&quot;590097956&quot; tag=&quot;HtmlRtfResults&quot; fid=&quot;0&quot; /&gt;"/>
    <w:docVar w:name="_AMO_ContentLocation_993266846_HtmlRtfResults_HtmlRtfResults" w:val="&lt;ContentLocation path=&quot;HtmlRtfResults&quot; rsid=&quot;993266846&quot; tag=&quot;HtmlRtfResults&quot; fid=&quot;0&quot; /&gt;"/>
    <w:docVar w:name="_AMO_SingleObject_132394976_HtmlRtfResults_HtmlRtfResults" w:val="_AMO_324277742"/>
    <w:docVar w:name="_AMO_SingleObject_242108922_HtmlRtfResults_HtmlRtfResults" w:val="_AMO_479963392"/>
    <w:docVar w:name="_AMO_SingleObject_306334817_HtmlRtfResults_HtmlRtfResults" w:val="_AMO_742355447"/>
    <w:docVar w:name="_AMO_SingleObject_410558914_HtmlRtfResults_HtmlRtfResults" w:val="_AMO_747842628"/>
    <w:docVar w:name="_AMO_SingleObject_543538783_HtmlRtfResults_HtmlRtfResults" w:val="_AMO_313487617"/>
    <w:docVar w:name="_AMO_SingleObject_584943449_HtmlRtfResults_HtmlRtfResults" w:val="_AMO_256028540"/>
    <w:docVar w:name="_AMO_SingleObject_590097956_HtmlRtfResults_HtmlRtfResults" w:val="_AMO_526786537"/>
    <w:docVar w:name="_AMO_SingleObject_619147942_HtmlRtfResults_HtmlRtfResults" w:val="_AMO_566809161"/>
    <w:docVar w:name="_AMO_SingleObject_71876890_HtmlRtfResults_HtmlRtfResults" w:val="_AMO_918031133"/>
    <w:docVar w:name="_AMO_SingleObject_728243728_HtmlRtfResults_HtmlRtfResults" w:val="_AMO_833681661"/>
    <w:docVar w:name="_AMO_SingleObject_993266846_HtmlRtfResults_HtmlRtfResults" w:val="_AMO_619278926"/>
    <w:docVar w:name="_AMO_XmlVersion" w:val="1"/>
    <w:docVar w:name="bkmAnslag" w:val="Empty"/>
    <w:docVar w:name="bkmÅlderspensionsavgift" w:val="Empty"/>
    <w:docVar w:name="IDX" w:val="Empty"/>
    <w:docVar w:name="Jämförelseanalys" w:val="Empty"/>
    <w:docVar w:name="Jämförelseanalys_2" w:val="Empty"/>
    <w:docVar w:name="Jämförelseanalys_3" w:val="Empty"/>
    <w:docVar w:name="Jämförelseanalys_4" w:val="Empty"/>
    <w:docVar w:name="Jämförelseanalys_5" w:val="Empty"/>
    <w:docVar w:name="Jämförelseanalys_6" w:val="Empty"/>
    <w:docVar w:name="Jämförelseanalys_hela_prognosperioden" w:val="Empty"/>
    <w:docVar w:name="Jämförelseanalys_hela_prognosperioden_2" w:val="Empty"/>
    <w:docVar w:name="Jämförelseanalys_hela_prognosperioden_3" w:val="Empty"/>
    <w:docVar w:name="Jämförelseanalys_hela_prognosperioden_4" w:val="Empty"/>
    <w:docVar w:name="Jämförelseanalys_hela_prognosperioden_5" w:val="Empty"/>
    <w:docVar w:name="Jämförelseanalys_hela_prognosperioden_6" w:val="Empty"/>
    <w:docVar w:name="Jämförelseanalys_hela_prognosperioden_7" w:val="Empty"/>
    <w:docVar w:name="Läs_in_prognos" w:val="Empty"/>
    <w:docVar w:name="OLE_LINK1" w:val="Empty"/>
    <w:docVar w:name="OLE_LINK2" w:val="Empty"/>
    <w:docVar w:name="Prognos_anslag" w:val="Empty"/>
    <w:docVar w:name="Prognos_anslag_2" w:val="Empty"/>
    <w:docVar w:name="Prognos_anslag_3" w:val="Empty"/>
    <w:docVar w:name="Prognos_anslag_4" w:val="Empty"/>
    <w:docVar w:name="Prognos_anslagspost" w:val="Empty"/>
    <w:docVar w:name="Prognos_anslagspost_2" w:val="Empty"/>
    <w:docVar w:name="Prognos_anslagspost_3" w:val="Empty"/>
    <w:docVar w:name="Prognos_anslagspost_4" w:val="Empty"/>
    <w:docVar w:name="Prognos_anslagspost_5" w:val="Empty"/>
    <w:docVar w:name="Prognos_anslagspost_6" w:val="Empty"/>
    <w:docVar w:name="Prognos_anslagspost_7" w:val="Empty"/>
    <w:docVar w:name="Prognos_anslagspost_9" w:val="Empty"/>
    <w:docVar w:name="Sammanställning_prognoser" w:val="Empty"/>
    <w:docVar w:name="Sammanställning_prognoser_2" w:val="Empty"/>
  </w:docVars>
  <w:rsids>
    <w:rsidRoot w:val="00E25003"/>
    <w:rsid w:val="00004581"/>
    <w:rsid w:val="0001088D"/>
    <w:rsid w:val="0001241C"/>
    <w:rsid w:val="00012CCE"/>
    <w:rsid w:val="00014359"/>
    <w:rsid w:val="0002202E"/>
    <w:rsid w:val="00023017"/>
    <w:rsid w:val="00023E54"/>
    <w:rsid w:val="0003140B"/>
    <w:rsid w:val="00032B82"/>
    <w:rsid w:val="00032E1A"/>
    <w:rsid w:val="00041FEF"/>
    <w:rsid w:val="000420D0"/>
    <w:rsid w:val="00047C48"/>
    <w:rsid w:val="00050157"/>
    <w:rsid w:val="00051767"/>
    <w:rsid w:val="00054860"/>
    <w:rsid w:val="000559D6"/>
    <w:rsid w:val="00057C4A"/>
    <w:rsid w:val="00060BF3"/>
    <w:rsid w:val="00064CD1"/>
    <w:rsid w:val="00064FF4"/>
    <w:rsid w:val="00070D54"/>
    <w:rsid w:val="00072297"/>
    <w:rsid w:val="00072DCC"/>
    <w:rsid w:val="0007646F"/>
    <w:rsid w:val="00077EBD"/>
    <w:rsid w:val="000800C3"/>
    <w:rsid w:val="00080E8E"/>
    <w:rsid w:val="0008207B"/>
    <w:rsid w:val="0008267C"/>
    <w:rsid w:val="000867CD"/>
    <w:rsid w:val="000877A8"/>
    <w:rsid w:val="000902E4"/>
    <w:rsid w:val="00090925"/>
    <w:rsid w:val="00092502"/>
    <w:rsid w:val="00092C92"/>
    <w:rsid w:val="00092D5E"/>
    <w:rsid w:val="000973ED"/>
    <w:rsid w:val="0009746A"/>
    <w:rsid w:val="000A13C5"/>
    <w:rsid w:val="000A6894"/>
    <w:rsid w:val="000B1709"/>
    <w:rsid w:val="000B32BB"/>
    <w:rsid w:val="000B4246"/>
    <w:rsid w:val="000B5976"/>
    <w:rsid w:val="000C4D4B"/>
    <w:rsid w:val="000C61A7"/>
    <w:rsid w:val="000C6F42"/>
    <w:rsid w:val="000D0947"/>
    <w:rsid w:val="000D1DCB"/>
    <w:rsid w:val="000D4C47"/>
    <w:rsid w:val="000D7FC4"/>
    <w:rsid w:val="000E040B"/>
    <w:rsid w:val="000E574A"/>
    <w:rsid w:val="000F2595"/>
    <w:rsid w:val="000F269C"/>
    <w:rsid w:val="000F2CD8"/>
    <w:rsid w:val="000F7339"/>
    <w:rsid w:val="000F7ADC"/>
    <w:rsid w:val="000F7D8D"/>
    <w:rsid w:val="001040F2"/>
    <w:rsid w:val="001134E9"/>
    <w:rsid w:val="00113D8E"/>
    <w:rsid w:val="00117F44"/>
    <w:rsid w:val="00123F6B"/>
    <w:rsid w:val="001405FD"/>
    <w:rsid w:val="00140EC0"/>
    <w:rsid w:val="00142B97"/>
    <w:rsid w:val="00144967"/>
    <w:rsid w:val="00144C50"/>
    <w:rsid w:val="00145795"/>
    <w:rsid w:val="00151086"/>
    <w:rsid w:val="00155AB6"/>
    <w:rsid w:val="0015764D"/>
    <w:rsid w:val="00157936"/>
    <w:rsid w:val="001625C7"/>
    <w:rsid w:val="00163977"/>
    <w:rsid w:val="00163C2A"/>
    <w:rsid w:val="001641CD"/>
    <w:rsid w:val="001701F3"/>
    <w:rsid w:val="00171E77"/>
    <w:rsid w:val="00171F3B"/>
    <w:rsid w:val="00172457"/>
    <w:rsid w:val="00172D1D"/>
    <w:rsid w:val="00173839"/>
    <w:rsid w:val="0017638F"/>
    <w:rsid w:val="00177679"/>
    <w:rsid w:val="00180EE3"/>
    <w:rsid w:val="00186AD9"/>
    <w:rsid w:val="0018769C"/>
    <w:rsid w:val="001876A5"/>
    <w:rsid w:val="00191A50"/>
    <w:rsid w:val="00193041"/>
    <w:rsid w:val="00193E8D"/>
    <w:rsid w:val="001945A3"/>
    <w:rsid w:val="001A32D6"/>
    <w:rsid w:val="001A4488"/>
    <w:rsid w:val="001A5CE7"/>
    <w:rsid w:val="001B00E0"/>
    <w:rsid w:val="001B2DB5"/>
    <w:rsid w:val="001C1192"/>
    <w:rsid w:val="001C2795"/>
    <w:rsid w:val="001C6526"/>
    <w:rsid w:val="001D5087"/>
    <w:rsid w:val="001D6F00"/>
    <w:rsid w:val="001E144B"/>
    <w:rsid w:val="001E1460"/>
    <w:rsid w:val="001E29E1"/>
    <w:rsid w:val="001E359E"/>
    <w:rsid w:val="001E3C79"/>
    <w:rsid w:val="001E4420"/>
    <w:rsid w:val="001E55A5"/>
    <w:rsid w:val="001F27BB"/>
    <w:rsid w:val="001F36AB"/>
    <w:rsid w:val="001F5567"/>
    <w:rsid w:val="001F5A0C"/>
    <w:rsid w:val="001F6A10"/>
    <w:rsid w:val="001F7453"/>
    <w:rsid w:val="001F7F88"/>
    <w:rsid w:val="00200675"/>
    <w:rsid w:val="002032C1"/>
    <w:rsid w:val="00204893"/>
    <w:rsid w:val="00206B68"/>
    <w:rsid w:val="00212046"/>
    <w:rsid w:val="00212AF4"/>
    <w:rsid w:val="00223B3C"/>
    <w:rsid w:val="002247A8"/>
    <w:rsid w:val="0022654A"/>
    <w:rsid w:val="00232F53"/>
    <w:rsid w:val="002335A8"/>
    <w:rsid w:val="00235516"/>
    <w:rsid w:val="0024050F"/>
    <w:rsid w:val="00242DDC"/>
    <w:rsid w:val="00243DB6"/>
    <w:rsid w:val="0024678E"/>
    <w:rsid w:val="0024755E"/>
    <w:rsid w:val="002475DE"/>
    <w:rsid w:val="00255656"/>
    <w:rsid w:val="00255D7D"/>
    <w:rsid w:val="002608D7"/>
    <w:rsid w:val="002708E0"/>
    <w:rsid w:val="00274BAD"/>
    <w:rsid w:val="0027583B"/>
    <w:rsid w:val="00284328"/>
    <w:rsid w:val="00287581"/>
    <w:rsid w:val="00291D1F"/>
    <w:rsid w:val="002935EA"/>
    <w:rsid w:val="00295611"/>
    <w:rsid w:val="002968F4"/>
    <w:rsid w:val="002A1C0C"/>
    <w:rsid w:val="002A31A1"/>
    <w:rsid w:val="002A6C86"/>
    <w:rsid w:val="002B042C"/>
    <w:rsid w:val="002B0E6C"/>
    <w:rsid w:val="002B18C2"/>
    <w:rsid w:val="002B1D81"/>
    <w:rsid w:val="002B252C"/>
    <w:rsid w:val="002B2B52"/>
    <w:rsid w:val="002B53D9"/>
    <w:rsid w:val="002C1302"/>
    <w:rsid w:val="002C3412"/>
    <w:rsid w:val="002C346F"/>
    <w:rsid w:val="002C480B"/>
    <w:rsid w:val="002C4E81"/>
    <w:rsid w:val="002C5FF2"/>
    <w:rsid w:val="002C6CA9"/>
    <w:rsid w:val="002C7C99"/>
    <w:rsid w:val="002D147A"/>
    <w:rsid w:val="002E4248"/>
    <w:rsid w:val="002E5DC7"/>
    <w:rsid w:val="002E604C"/>
    <w:rsid w:val="002E628C"/>
    <w:rsid w:val="002E79A4"/>
    <w:rsid w:val="002F2651"/>
    <w:rsid w:val="003008EC"/>
    <w:rsid w:val="00302E8F"/>
    <w:rsid w:val="00304969"/>
    <w:rsid w:val="00307B8F"/>
    <w:rsid w:val="00313366"/>
    <w:rsid w:val="003136F0"/>
    <w:rsid w:val="00320B63"/>
    <w:rsid w:val="003249A2"/>
    <w:rsid w:val="003258C9"/>
    <w:rsid w:val="00325F15"/>
    <w:rsid w:val="00330896"/>
    <w:rsid w:val="00331111"/>
    <w:rsid w:val="003315E7"/>
    <w:rsid w:val="00332A72"/>
    <w:rsid w:val="00340B96"/>
    <w:rsid w:val="003503D6"/>
    <w:rsid w:val="00352610"/>
    <w:rsid w:val="00362F56"/>
    <w:rsid w:val="00365345"/>
    <w:rsid w:val="00370D93"/>
    <w:rsid w:val="0037442A"/>
    <w:rsid w:val="003765E2"/>
    <w:rsid w:val="00376899"/>
    <w:rsid w:val="00376EE0"/>
    <w:rsid w:val="0037783B"/>
    <w:rsid w:val="00382923"/>
    <w:rsid w:val="00384E78"/>
    <w:rsid w:val="00387130"/>
    <w:rsid w:val="00387EB2"/>
    <w:rsid w:val="003908AB"/>
    <w:rsid w:val="00390C95"/>
    <w:rsid w:val="00391701"/>
    <w:rsid w:val="0039451E"/>
    <w:rsid w:val="00395EC5"/>
    <w:rsid w:val="003961E4"/>
    <w:rsid w:val="003A0447"/>
    <w:rsid w:val="003A0E37"/>
    <w:rsid w:val="003A152D"/>
    <w:rsid w:val="003A3232"/>
    <w:rsid w:val="003A4393"/>
    <w:rsid w:val="003A604C"/>
    <w:rsid w:val="003A6399"/>
    <w:rsid w:val="003B2D92"/>
    <w:rsid w:val="003B2EF9"/>
    <w:rsid w:val="003B32B7"/>
    <w:rsid w:val="003B3F76"/>
    <w:rsid w:val="003C2587"/>
    <w:rsid w:val="003C2A2A"/>
    <w:rsid w:val="003C4AAC"/>
    <w:rsid w:val="003D1D1D"/>
    <w:rsid w:val="003D3100"/>
    <w:rsid w:val="003D46EB"/>
    <w:rsid w:val="003D5A50"/>
    <w:rsid w:val="003D6C66"/>
    <w:rsid w:val="003E0E49"/>
    <w:rsid w:val="003E647F"/>
    <w:rsid w:val="003E74F4"/>
    <w:rsid w:val="003E7B91"/>
    <w:rsid w:val="003F4AFA"/>
    <w:rsid w:val="003F55C9"/>
    <w:rsid w:val="00401AB4"/>
    <w:rsid w:val="0040263F"/>
    <w:rsid w:val="004028F9"/>
    <w:rsid w:val="00404B5D"/>
    <w:rsid w:val="004066A9"/>
    <w:rsid w:val="00412DEC"/>
    <w:rsid w:val="00413528"/>
    <w:rsid w:val="00413600"/>
    <w:rsid w:val="00413B20"/>
    <w:rsid w:val="004163FF"/>
    <w:rsid w:val="00420AAE"/>
    <w:rsid w:val="00420CAF"/>
    <w:rsid w:val="004218BD"/>
    <w:rsid w:val="00424896"/>
    <w:rsid w:val="00424E11"/>
    <w:rsid w:val="004273D2"/>
    <w:rsid w:val="00427F81"/>
    <w:rsid w:val="0043030C"/>
    <w:rsid w:val="00430738"/>
    <w:rsid w:val="004307AF"/>
    <w:rsid w:val="004430CF"/>
    <w:rsid w:val="00443B99"/>
    <w:rsid w:val="004461F5"/>
    <w:rsid w:val="00450B7E"/>
    <w:rsid w:val="00451B7F"/>
    <w:rsid w:val="00460514"/>
    <w:rsid w:val="004615DD"/>
    <w:rsid w:val="00462578"/>
    <w:rsid w:val="00463F4C"/>
    <w:rsid w:val="00465BA1"/>
    <w:rsid w:val="00466AF3"/>
    <w:rsid w:val="004705AE"/>
    <w:rsid w:val="00470D24"/>
    <w:rsid w:val="00470D73"/>
    <w:rsid w:val="00471313"/>
    <w:rsid w:val="00473199"/>
    <w:rsid w:val="00474CD9"/>
    <w:rsid w:val="00474DFD"/>
    <w:rsid w:val="004761E9"/>
    <w:rsid w:val="00484402"/>
    <w:rsid w:val="00493645"/>
    <w:rsid w:val="00493AE0"/>
    <w:rsid w:val="004944E3"/>
    <w:rsid w:val="0049509D"/>
    <w:rsid w:val="00495CEB"/>
    <w:rsid w:val="004A2605"/>
    <w:rsid w:val="004A3DA0"/>
    <w:rsid w:val="004A40DE"/>
    <w:rsid w:val="004A4F7B"/>
    <w:rsid w:val="004B288D"/>
    <w:rsid w:val="004B3F7C"/>
    <w:rsid w:val="004B406A"/>
    <w:rsid w:val="004B4EC4"/>
    <w:rsid w:val="004B620D"/>
    <w:rsid w:val="004B6CC8"/>
    <w:rsid w:val="004C1D76"/>
    <w:rsid w:val="004C2E8B"/>
    <w:rsid w:val="004C3462"/>
    <w:rsid w:val="004C36CC"/>
    <w:rsid w:val="004C5B64"/>
    <w:rsid w:val="004C7204"/>
    <w:rsid w:val="004D603B"/>
    <w:rsid w:val="004D658C"/>
    <w:rsid w:val="004E05DA"/>
    <w:rsid w:val="004E10DF"/>
    <w:rsid w:val="004E38DB"/>
    <w:rsid w:val="004E5796"/>
    <w:rsid w:val="004E5D90"/>
    <w:rsid w:val="004F1414"/>
    <w:rsid w:val="005016D2"/>
    <w:rsid w:val="00503384"/>
    <w:rsid w:val="00503A74"/>
    <w:rsid w:val="00505D50"/>
    <w:rsid w:val="005103BC"/>
    <w:rsid w:val="005112D0"/>
    <w:rsid w:val="00512966"/>
    <w:rsid w:val="0051598B"/>
    <w:rsid w:val="005206F6"/>
    <w:rsid w:val="005236D8"/>
    <w:rsid w:val="00523C32"/>
    <w:rsid w:val="00523FE9"/>
    <w:rsid w:val="00524BBF"/>
    <w:rsid w:val="00526FA1"/>
    <w:rsid w:val="00527D53"/>
    <w:rsid w:val="005307CC"/>
    <w:rsid w:val="00533A1C"/>
    <w:rsid w:val="00533F3C"/>
    <w:rsid w:val="00545C51"/>
    <w:rsid w:val="005468F8"/>
    <w:rsid w:val="00550C6C"/>
    <w:rsid w:val="005525CB"/>
    <w:rsid w:val="005533BD"/>
    <w:rsid w:val="00561762"/>
    <w:rsid w:val="00562594"/>
    <w:rsid w:val="00563235"/>
    <w:rsid w:val="00571759"/>
    <w:rsid w:val="0058060F"/>
    <w:rsid w:val="00582390"/>
    <w:rsid w:val="005867E8"/>
    <w:rsid w:val="0059556F"/>
    <w:rsid w:val="005957F1"/>
    <w:rsid w:val="005974E3"/>
    <w:rsid w:val="005A1038"/>
    <w:rsid w:val="005A22A3"/>
    <w:rsid w:val="005A2E8F"/>
    <w:rsid w:val="005A472B"/>
    <w:rsid w:val="005A4E1C"/>
    <w:rsid w:val="005A5972"/>
    <w:rsid w:val="005A6510"/>
    <w:rsid w:val="005A6841"/>
    <w:rsid w:val="005A6D20"/>
    <w:rsid w:val="005B0D65"/>
    <w:rsid w:val="005B291F"/>
    <w:rsid w:val="005C096A"/>
    <w:rsid w:val="005C0D06"/>
    <w:rsid w:val="005C274E"/>
    <w:rsid w:val="005C2D0B"/>
    <w:rsid w:val="005C394C"/>
    <w:rsid w:val="005C4751"/>
    <w:rsid w:val="005C58EB"/>
    <w:rsid w:val="005C70A9"/>
    <w:rsid w:val="005D2722"/>
    <w:rsid w:val="005D4FB1"/>
    <w:rsid w:val="005D5AA4"/>
    <w:rsid w:val="005D5BB0"/>
    <w:rsid w:val="005E686F"/>
    <w:rsid w:val="005E7179"/>
    <w:rsid w:val="005F464A"/>
    <w:rsid w:val="005F4F60"/>
    <w:rsid w:val="006014F8"/>
    <w:rsid w:val="00605700"/>
    <w:rsid w:val="0060733A"/>
    <w:rsid w:val="006077D2"/>
    <w:rsid w:val="0061727D"/>
    <w:rsid w:val="006232CA"/>
    <w:rsid w:val="00623F78"/>
    <w:rsid w:val="006240A9"/>
    <w:rsid w:val="00626265"/>
    <w:rsid w:val="0064032C"/>
    <w:rsid w:val="00642856"/>
    <w:rsid w:val="00642996"/>
    <w:rsid w:val="00644143"/>
    <w:rsid w:val="00646399"/>
    <w:rsid w:val="0064667F"/>
    <w:rsid w:val="006560E8"/>
    <w:rsid w:val="00657EA3"/>
    <w:rsid w:val="006624D2"/>
    <w:rsid w:val="00663441"/>
    <w:rsid w:val="006646A8"/>
    <w:rsid w:val="0066644A"/>
    <w:rsid w:val="006673E4"/>
    <w:rsid w:val="0066758B"/>
    <w:rsid w:val="0067065F"/>
    <w:rsid w:val="00670AD1"/>
    <w:rsid w:val="0067127A"/>
    <w:rsid w:val="00671B6C"/>
    <w:rsid w:val="00671F47"/>
    <w:rsid w:val="00676940"/>
    <w:rsid w:val="0067694F"/>
    <w:rsid w:val="006876B5"/>
    <w:rsid w:val="006909D0"/>
    <w:rsid w:val="00691DA2"/>
    <w:rsid w:val="0069564F"/>
    <w:rsid w:val="00695A02"/>
    <w:rsid w:val="00696AF6"/>
    <w:rsid w:val="006A29C2"/>
    <w:rsid w:val="006A2F0B"/>
    <w:rsid w:val="006A4138"/>
    <w:rsid w:val="006A6693"/>
    <w:rsid w:val="006A7474"/>
    <w:rsid w:val="006B2091"/>
    <w:rsid w:val="006B345A"/>
    <w:rsid w:val="006B4F52"/>
    <w:rsid w:val="006C2CFA"/>
    <w:rsid w:val="006C3C8D"/>
    <w:rsid w:val="006C3EE4"/>
    <w:rsid w:val="006C79C3"/>
    <w:rsid w:val="006D02FC"/>
    <w:rsid w:val="006D245A"/>
    <w:rsid w:val="006D3CFE"/>
    <w:rsid w:val="006D4AC0"/>
    <w:rsid w:val="006D5226"/>
    <w:rsid w:val="006D5770"/>
    <w:rsid w:val="006E6B81"/>
    <w:rsid w:val="006E73A1"/>
    <w:rsid w:val="006E7E1A"/>
    <w:rsid w:val="006F0B00"/>
    <w:rsid w:val="006F1CB8"/>
    <w:rsid w:val="006F276C"/>
    <w:rsid w:val="006F2F59"/>
    <w:rsid w:val="006F6037"/>
    <w:rsid w:val="007004EA"/>
    <w:rsid w:val="00701740"/>
    <w:rsid w:val="00705E48"/>
    <w:rsid w:val="007061A3"/>
    <w:rsid w:val="0071008B"/>
    <w:rsid w:val="0071413F"/>
    <w:rsid w:val="00717856"/>
    <w:rsid w:val="0072638B"/>
    <w:rsid w:val="007300ED"/>
    <w:rsid w:val="00735331"/>
    <w:rsid w:val="00735C2B"/>
    <w:rsid w:val="00740051"/>
    <w:rsid w:val="00740E43"/>
    <w:rsid w:val="007440A1"/>
    <w:rsid w:val="00751554"/>
    <w:rsid w:val="00753B6D"/>
    <w:rsid w:val="00754E89"/>
    <w:rsid w:val="00755B3E"/>
    <w:rsid w:val="007601C3"/>
    <w:rsid w:val="00762962"/>
    <w:rsid w:val="00766D21"/>
    <w:rsid w:val="0076724A"/>
    <w:rsid w:val="0077148E"/>
    <w:rsid w:val="007730E0"/>
    <w:rsid w:val="007753FF"/>
    <w:rsid w:val="007762B7"/>
    <w:rsid w:val="00781E09"/>
    <w:rsid w:val="00782A80"/>
    <w:rsid w:val="00787410"/>
    <w:rsid w:val="00790295"/>
    <w:rsid w:val="00790405"/>
    <w:rsid w:val="0079248C"/>
    <w:rsid w:val="00793ED4"/>
    <w:rsid w:val="00794705"/>
    <w:rsid w:val="007A368E"/>
    <w:rsid w:val="007B118A"/>
    <w:rsid w:val="007B3A6B"/>
    <w:rsid w:val="007B6C56"/>
    <w:rsid w:val="007D0C9B"/>
    <w:rsid w:val="007D2916"/>
    <w:rsid w:val="007D3090"/>
    <w:rsid w:val="007D5243"/>
    <w:rsid w:val="007D78BB"/>
    <w:rsid w:val="007E39D7"/>
    <w:rsid w:val="007E559E"/>
    <w:rsid w:val="007E6116"/>
    <w:rsid w:val="007E79E1"/>
    <w:rsid w:val="007F4F57"/>
    <w:rsid w:val="007F5D13"/>
    <w:rsid w:val="00800032"/>
    <w:rsid w:val="00800499"/>
    <w:rsid w:val="00810817"/>
    <w:rsid w:val="00811644"/>
    <w:rsid w:val="00812D3D"/>
    <w:rsid w:val="00814A0D"/>
    <w:rsid w:val="008177C0"/>
    <w:rsid w:val="00817A65"/>
    <w:rsid w:val="00820A5F"/>
    <w:rsid w:val="0082214B"/>
    <w:rsid w:val="00824146"/>
    <w:rsid w:val="00830105"/>
    <w:rsid w:val="00833B9C"/>
    <w:rsid w:val="00841615"/>
    <w:rsid w:val="00841BA6"/>
    <w:rsid w:val="00843544"/>
    <w:rsid w:val="00850AD3"/>
    <w:rsid w:val="00851711"/>
    <w:rsid w:val="00851F19"/>
    <w:rsid w:val="00854C21"/>
    <w:rsid w:val="00856ECA"/>
    <w:rsid w:val="00857DDB"/>
    <w:rsid w:val="008608C0"/>
    <w:rsid w:val="008749BA"/>
    <w:rsid w:val="00876C7C"/>
    <w:rsid w:val="00877CCF"/>
    <w:rsid w:val="00882507"/>
    <w:rsid w:val="00882521"/>
    <w:rsid w:val="008870D7"/>
    <w:rsid w:val="008907D0"/>
    <w:rsid w:val="00891225"/>
    <w:rsid w:val="00892539"/>
    <w:rsid w:val="00892B30"/>
    <w:rsid w:val="00894457"/>
    <w:rsid w:val="00894B4B"/>
    <w:rsid w:val="008958A0"/>
    <w:rsid w:val="008A14DB"/>
    <w:rsid w:val="008A480A"/>
    <w:rsid w:val="008A56D8"/>
    <w:rsid w:val="008A5822"/>
    <w:rsid w:val="008B07AE"/>
    <w:rsid w:val="008B50CC"/>
    <w:rsid w:val="008B52AD"/>
    <w:rsid w:val="008B7853"/>
    <w:rsid w:val="008B78F9"/>
    <w:rsid w:val="008C1B3C"/>
    <w:rsid w:val="008D7221"/>
    <w:rsid w:val="008E359B"/>
    <w:rsid w:val="008E6366"/>
    <w:rsid w:val="008E7FF6"/>
    <w:rsid w:val="008F0515"/>
    <w:rsid w:val="008F4F19"/>
    <w:rsid w:val="008F5D21"/>
    <w:rsid w:val="008F6A57"/>
    <w:rsid w:val="008F74D9"/>
    <w:rsid w:val="00903E72"/>
    <w:rsid w:val="009057CE"/>
    <w:rsid w:val="00905AD0"/>
    <w:rsid w:val="0090612E"/>
    <w:rsid w:val="00906988"/>
    <w:rsid w:val="00906F84"/>
    <w:rsid w:val="00907E58"/>
    <w:rsid w:val="00911E90"/>
    <w:rsid w:val="00911F4C"/>
    <w:rsid w:val="0091385C"/>
    <w:rsid w:val="00914CF6"/>
    <w:rsid w:val="0091619C"/>
    <w:rsid w:val="00920836"/>
    <w:rsid w:val="00920C6F"/>
    <w:rsid w:val="0092142A"/>
    <w:rsid w:val="00923480"/>
    <w:rsid w:val="00923B61"/>
    <w:rsid w:val="00926B0F"/>
    <w:rsid w:val="00930D4D"/>
    <w:rsid w:val="00930DD2"/>
    <w:rsid w:val="00932753"/>
    <w:rsid w:val="00932F08"/>
    <w:rsid w:val="00934223"/>
    <w:rsid w:val="00941683"/>
    <w:rsid w:val="00945DAF"/>
    <w:rsid w:val="009516EA"/>
    <w:rsid w:val="009615CD"/>
    <w:rsid w:val="009616F2"/>
    <w:rsid w:val="00966816"/>
    <w:rsid w:val="0096791E"/>
    <w:rsid w:val="00967F61"/>
    <w:rsid w:val="00970288"/>
    <w:rsid w:val="00971107"/>
    <w:rsid w:val="0097427A"/>
    <w:rsid w:val="00977EA8"/>
    <w:rsid w:val="009806C4"/>
    <w:rsid w:val="00980D7D"/>
    <w:rsid w:val="00980FA8"/>
    <w:rsid w:val="00981801"/>
    <w:rsid w:val="00983ADD"/>
    <w:rsid w:val="00984827"/>
    <w:rsid w:val="00984CA0"/>
    <w:rsid w:val="009852B6"/>
    <w:rsid w:val="00986208"/>
    <w:rsid w:val="00986302"/>
    <w:rsid w:val="0099192E"/>
    <w:rsid w:val="00992A03"/>
    <w:rsid w:val="00993395"/>
    <w:rsid w:val="00994F0B"/>
    <w:rsid w:val="00995ECC"/>
    <w:rsid w:val="00997995"/>
    <w:rsid w:val="009A0D13"/>
    <w:rsid w:val="009A0DB2"/>
    <w:rsid w:val="009A41D0"/>
    <w:rsid w:val="009A6A1A"/>
    <w:rsid w:val="009B0F13"/>
    <w:rsid w:val="009B47DF"/>
    <w:rsid w:val="009B5D08"/>
    <w:rsid w:val="009B7672"/>
    <w:rsid w:val="009C021F"/>
    <w:rsid w:val="009C6D63"/>
    <w:rsid w:val="009C7A4F"/>
    <w:rsid w:val="009C7D07"/>
    <w:rsid w:val="009D1A5C"/>
    <w:rsid w:val="009D302D"/>
    <w:rsid w:val="009D55FB"/>
    <w:rsid w:val="009D7D8B"/>
    <w:rsid w:val="009E0902"/>
    <w:rsid w:val="009E0AA4"/>
    <w:rsid w:val="009E3055"/>
    <w:rsid w:val="009E6A1A"/>
    <w:rsid w:val="009E7464"/>
    <w:rsid w:val="009F46B9"/>
    <w:rsid w:val="009F63D7"/>
    <w:rsid w:val="00A000C6"/>
    <w:rsid w:val="00A00EF2"/>
    <w:rsid w:val="00A0140F"/>
    <w:rsid w:val="00A0142B"/>
    <w:rsid w:val="00A018DF"/>
    <w:rsid w:val="00A02C10"/>
    <w:rsid w:val="00A03F35"/>
    <w:rsid w:val="00A07FD5"/>
    <w:rsid w:val="00A12271"/>
    <w:rsid w:val="00A1448C"/>
    <w:rsid w:val="00A148F0"/>
    <w:rsid w:val="00A208FF"/>
    <w:rsid w:val="00A2276D"/>
    <w:rsid w:val="00A25A25"/>
    <w:rsid w:val="00A27266"/>
    <w:rsid w:val="00A31C75"/>
    <w:rsid w:val="00A33EDF"/>
    <w:rsid w:val="00A349A0"/>
    <w:rsid w:val="00A35531"/>
    <w:rsid w:val="00A36D71"/>
    <w:rsid w:val="00A45CA4"/>
    <w:rsid w:val="00A503CB"/>
    <w:rsid w:val="00A526AB"/>
    <w:rsid w:val="00A56A28"/>
    <w:rsid w:val="00A57549"/>
    <w:rsid w:val="00A57D3F"/>
    <w:rsid w:val="00A616F0"/>
    <w:rsid w:val="00A61B18"/>
    <w:rsid w:val="00A627C4"/>
    <w:rsid w:val="00A62B70"/>
    <w:rsid w:val="00A62E49"/>
    <w:rsid w:val="00A67542"/>
    <w:rsid w:val="00A71255"/>
    <w:rsid w:val="00A71DDB"/>
    <w:rsid w:val="00A73EFB"/>
    <w:rsid w:val="00A74A9D"/>
    <w:rsid w:val="00A769CF"/>
    <w:rsid w:val="00A772C9"/>
    <w:rsid w:val="00A81F4B"/>
    <w:rsid w:val="00A8329B"/>
    <w:rsid w:val="00A84172"/>
    <w:rsid w:val="00A841B5"/>
    <w:rsid w:val="00A85509"/>
    <w:rsid w:val="00A931CA"/>
    <w:rsid w:val="00A95AB3"/>
    <w:rsid w:val="00AA2697"/>
    <w:rsid w:val="00AA48EA"/>
    <w:rsid w:val="00AA7C8E"/>
    <w:rsid w:val="00AC5530"/>
    <w:rsid w:val="00AC5E9A"/>
    <w:rsid w:val="00AC5EC5"/>
    <w:rsid w:val="00AD00BE"/>
    <w:rsid w:val="00AD09D2"/>
    <w:rsid w:val="00AD20FC"/>
    <w:rsid w:val="00AD3BD8"/>
    <w:rsid w:val="00AD3E8B"/>
    <w:rsid w:val="00AD4F46"/>
    <w:rsid w:val="00AD589B"/>
    <w:rsid w:val="00AD5BE9"/>
    <w:rsid w:val="00AE0820"/>
    <w:rsid w:val="00AE1109"/>
    <w:rsid w:val="00AE5A8F"/>
    <w:rsid w:val="00AF07C0"/>
    <w:rsid w:val="00AF54D6"/>
    <w:rsid w:val="00B00371"/>
    <w:rsid w:val="00B0278F"/>
    <w:rsid w:val="00B03436"/>
    <w:rsid w:val="00B03882"/>
    <w:rsid w:val="00B046C3"/>
    <w:rsid w:val="00B0692E"/>
    <w:rsid w:val="00B11524"/>
    <w:rsid w:val="00B11858"/>
    <w:rsid w:val="00B13956"/>
    <w:rsid w:val="00B1512D"/>
    <w:rsid w:val="00B15D20"/>
    <w:rsid w:val="00B1600A"/>
    <w:rsid w:val="00B16F1F"/>
    <w:rsid w:val="00B1749B"/>
    <w:rsid w:val="00B176B3"/>
    <w:rsid w:val="00B17D94"/>
    <w:rsid w:val="00B20150"/>
    <w:rsid w:val="00B228C1"/>
    <w:rsid w:val="00B23A8F"/>
    <w:rsid w:val="00B246BB"/>
    <w:rsid w:val="00B26DEA"/>
    <w:rsid w:val="00B30114"/>
    <w:rsid w:val="00B32236"/>
    <w:rsid w:val="00B3359A"/>
    <w:rsid w:val="00B40CE1"/>
    <w:rsid w:val="00B41493"/>
    <w:rsid w:val="00B45DFF"/>
    <w:rsid w:val="00B616B9"/>
    <w:rsid w:val="00B642CE"/>
    <w:rsid w:val="00B6717C"/>
    <w:rsid w:val="00B67AE2"/>
    <w:rsid w:val="00B75170"/>
    <w:rsid w:val="00B773ED"/>
    <w:rsid w:val="00B77E55"/>
    <w:rsid w:val="00B81681"/>
    <w:rsid w:val="00B81811"/>
    <w:rsid w:val="00B81FB7"/>
    <w:rsid w:val="00B822A7"/>
    <w:rsid w:val="00B83418"/>
    <w:rsid w:val="00B863D9"/>
    <w:rsid w:val="00B86F46"/>
    <w:rsid w:val="00B9050C"/>
    <w:rsid w:val="00B9110E"/>
    <w:rsid w:val="00BA1495"/>
    <w:rsid w:val="00BA300E"/>
    <w:rsid w:val="00BA3E6D"/>
    <w:rsid w:val="00BA4F10"/>
    <w:rsid w:val="00BA6F2B"/>
    <w:rsid w:val="00BA7CCB"/>
    <w:rsid w:val="00BB7C3A"/>
    <w:rsid w:val="00BC2B70"/>
    <w:rsid w:val="00BC2E51"/>
    <w:rsid w:val="00BC4F8C"/>
    <w:rsid w:val="00BC6FE4"/>
    <w:rsid w:val="00BD072A"/>
    <w:rsid w:val="00BD0B62"/>
    <w:rsid w:val="00BD6346"/>
    <w:rsid w:val="00BD6DF2"/>
    <w:rsid w:val="00BD6F0C"/>
    <w:rsid w:val="00BE1AEF"/>
    <w:rsid w:val="00BE2747"/>
    <w:rsid w:val="00BE522F"/>
    <w:rsid w:val="00BE52F8"/>
    <w:rsid w:val="00BE6013"/>
    <w:rsid w:val="00BF0416"/>
    <w:rsid w:val="00BF1208"/>
    <w:rsid w:val="00BF59E1"/>
    <w:rsid w:val="00BF6D16"/>
    <w:rsid w:val="00C0368C"/>
    <w:rsid w:val="00C0422C"/>
    <w:rsid w:val="00C06469"/>
    <w:rsid w:val="00C07309"/>
    <w:rsid w:val="00C10005"/>
    <w:rsid w:val="00C151B2"/>
    <w:rsid w:val="00C17F5C"/>
    <w:rsid w:val="00C2115E"/>
    <w:rsid w:val="00C22ABE"/>
    <w:rsid w:val="00C26ABC"/>
    <w:rsid w:val="00C3070F"/>
    <w:rsid w:val="00C33599"/>
    <w:rsid w:val="00C34C93"/>
    <w:rsid w:val="00C35DEE"/>
    <w:rsid w:val="00C37970"/>
    <w:rsid w:val="00C404B5"/>
    <w:rsid w:val="00C44168"/>
    <w:rsid w:val="00C44210"/>
    <w:rsid w:val="00C4699C"/>
    <w:rsid w:val="00C5166D"/>
    <w:rsid w:val="00C51FC1"/>
    <w:rsid w:val="00C600F6"/>
    <w:rsid w:val="00C649F3"/>
    <w:rsid w:val="00C650E4"/>
    <w:rsid w:val="00C6568A"/>
    <w:rsid w:val="00C65747"/>
    <w:rsid w:val="00C66487"/>
    <w:rsid w:val="00C66E22"/>
    <w:rsid w:val="00C74615"/>
    <w:rsid w:val="00C74EED"/>
    <w:rsid w:val="00C754B6"/>
    <w:rsid w:val="00C7763B"/>
    <w:rsid w:val="00C77B67"/>
    <w:rsid w:val="00C77C14"/>
    <w:rsid w:val="00C80A54"/>
    <w:rsid w:val="00C865EA"/>
    <w:rsid w:val="00C9222A"/>
    <w:rsid w:val="00C94715"/>
    <w:rsid w:val="00C959D9"/>
    <w:rsid w:val="00CA0F1F"/>
    <w:rsid w:val="00CA2312"/>
    <w:rsid w:val="00CA34DE"/>
    <w:rsid w:val="00CA4146"/>
    <w:rsid w:val="00CA41F0"/>
    <w:rsid w:val="00CA7FC4"/>
    <w:rsid w:val="00CD6D3D"/>
    <w:rsid w:val="00CE27E0"/>
    <w:rsid w:val="00CE4CC7"/>
    <w:rsid w:val="00CE4EA9"/>
    <w:rsid w:val="00CE6248"/>
    <w:rsid w:val="00CF0C65"/>
    <w:rsid w:val="00CF172B"/>
    <w:rsid w:val="00CF30A0"/>
    <w:rsid w:val="00CF3ED2"/>
    <w:rsid w:val="00D00C35"/>
    <w:rsid w:val="00D0272F"/>
    <w:rsid w:val="00D06B98"/>
    <w:rsid w:val="00D10177"/>
    <w:rsid w:val="00D102C5"/>
    <w:rsid w:val="00D1303D"/>
    <w:rsid w:val="00D13CFB"/>
    <w:rsid w:val="00D15A75"/>
    <w:rsid w:val="00D245FA"/>
    <w:rsid w:val="00D25D56"/>
    <w:rsid w:val="00D27795"/>
    <w:rsid w:val="00D30DB9"/>
    <w:rsid w:val="00D3630A"/>
    <w:rsid w:val="00D36696"/>
    <w:rsid w:val="00D406FF"/>
    <w:rsid w:val="00D40974"/>
    <w:rsid w:val="00D43D9E"/>
    <w:rsid w:val="00D457FD"/>
    <w:rsid w:val="00D51F8D"/>
    <w:rsid w:val="00D52C01"/>
    <w:rsid w:val="00D5306D"/>
    <w:rsid w:val="00D53EF1"/>
    <w:rsid w:val="00D547A2"/>
    <w:rsid w:val="00D56A87"/>
    <w:rsid w:val="00D60B57"/>
    <w:rsid w:val="00D65D30"/>
    <w:rsid w:val="00D65D79"/>
    <w:rsid w:val="00D66D6C"/>
    <w:rsid w:val="00D67752"/>
    <w:rsid w:val="00D7028E"/>
    <w:rsid w:val="00D716C1"/>
    <w:rsid w:val="00D74EC1"/>
    <w:rsid w:val="00D80CA5"/>
    <w:rsid w:val="00D83FCB"/>
    <w:rsid w:val="00D842C2"/>
    <w:rsid w:val="00D84D07"/>
    <w:rsid w:val="00D85E44"/>
    <w:rsid w:val="00D912F3"/>
    <w:rsid w:val="00D918F0"/>
    <w:rsid w:val="00D919C2"/>
    <w:rsid w:val="00D92050"/>
    <w:rsid w:val="00D931D8"/>
    <w:rsid w:val="00D940DA"/>
    <w:rsid w:val="00D97B2A"/>
    <w:rsid w:val="00DA2856"/>
    <w:rsid w:val="00DA2A6E"/>
    <w:rsid w:val="00DA5402"/>
    <w:rsid w:val="00DC1284"/>
    <w:rsid w:val="00DD1878"/>
    <w:rsid w:val="00DD4E05"/>
    <w:rsid w:val="00DD792B"/>
    <w:rsid w:val="00DE0774"/>
    <w:rsid w:val="00DE1EF0"/>
    <w:rsid w:val="00DE2A5F"/>
    <w:rsid w:val="00DE3F6B"/>
    <w:rsid w:val="00DE7788"/>
    <w:rsid w:val="00DF6116"/>
    <w:rsid w:val="00E0061A"/>
    <w:rsid w:val="00E0234C"/>
    <w:rsid w:val="00E02DEF"/>
    <w:rsid w:val="00E11316"/>
    <w:rsid w:val="00E11E97"/>
    <w:rsid w:val="00E12F33"/>
    <w:rsid w:val="00E14FC5"/>
    <w:rsid w:val="00E25003"/>
    <w:rsid w:val="00E260D7"/>
    <w:rsid w:val="00E26FE1"/>
    <w:rsid w:val="00E32027"/>
    <w:rsid w:val="00E3381D"/>
    <w:rsid w:val="00E370E4"/>
    <w:rsid w:val="00E40B74"/>
    <w:rsid w:val="00E42A5B"/>
    <w:rsid w:val="00E43EF7"/>
    <w:rsid w:val="00E45AF9"/>
    <w:rsid w:val="00E47465"/>
    <w:rsid w:val="00E47475"/>
    <w:rsid w:val="00E4799E"/>
    <w:rsid w:val="00E5067E"/>
    <w:rsid w:val="00E51878"/>
    <w:rsid w:val="00E60541"/>
    <w:rsid w:val="00E62712"/>
    <w:rsid w:val="00E65115"/>
    <w:rsid w:val="00E663B3"/>
    <w:rsid w:val="00E674A2"/>
    <w:rsid w:val="00E675DD"/>
    <w:rsid w:val="00E702C7"/>
    <w:rsid w:val="00E70FB3"/>
    <w:rsid w:val="00E71283"/>
    <w:rsid w:val="00E722F1"/>
    <w:rsid w:val="00E72899"/>
    <w:rsid w:val="00E73A39"/>
    <w:rsid w:val="00E75154"/>
    <w:rsid w:val="00E77683"/>
    <w:rsid w:val="00E80D45"/>
    <w:rsid w:val="00E8794A"/>
    <w:rsid w:val="00E91024"/>
    <w:rsid w:val="00E9249B"/>
    <w:rsid w:val="00E962D2"/>
    <w:rsid w:val="00E968A2"/>
    <w:rsid w:val="00EA2AD6"/>
    <w:rsid w:val="00EA4F2E"/>
    <w:rsid w:val="00EA64D0"/>
    <w:rsid w:val="00EA6D21"/>
    <w:rsid w:val="00EA6EE3"/>
    <w:rsid w:val="00EB246A"/>
    <w:rsid w:val="00EB66A0"/>
    <w:rsid w:val="00EC0C3F"/>
    <w:rsid w:val="00EC1AC5"/>
    <w:rsid w:val="00EC3A29"/>
    <w:rsid w:val="00EC5F70"/>
    <w:rsid w:val="00EC606D"/>
    <w:rsid w:val="00EC6608"/>
    <w:rsid w:val="00EC6DB2"/>
    <w:rsid w:val="00ED33B9"/>
    <w:rsid w:val="00ED63C1"/>
    <w:rsid w:val="00EE07C0"/>
    <w:rsid w:val="00EF04C8"/>
    <w:rsid w:val="00EF0FD8"/>
    <w:rsid w:val="00EF5CD0"/>
    <w:rsid w:val="00F01E74"/>
    <w:rsid w:val="00F04C53"/>
    <w:rsid w:val="00F25CFD"/>
    <w:rsid w:val="00F25EFA"/>
    <w:rsid w:val="00F27066"/>
    <w:rsid w:val="00F3418B"/>
    <w:rsid w:val="00F368FF"/>
    <w:rsid w:val="00F408B0"/>
    <w:rsid w:val="00F40B8A"/>
    <w:rsid w:val="00F41D98"/>
    <w:rsid w:val="00F423EB"/>
    <w:rsid w:val="00F435A7"/>
    <w:rsid w:val="00F43C61"/>
    <w:rsid w:val="00F514DB"/>
    <w:rsid w:val="00F532CE"/>
    <w:rsid w:val="00F535EE"/>
    <w:rsid w:val="00F558C4"/>
    <w:rsid w:val="00F57650"/>
    <w:rsid w:val="00F615C0"/>
    <w:rsid w:val="00F61BBD"/>
    <w:rsid w:val="00F63F81"/>
    <w:rsid w:val="00F6499C"/>
    <w:rsid w:val="00F65905"/>
    <w:rsid w:val="00F660DB"/>
    <w:rsid w:val="00F66962"/>
    <w:rsid w:val="00F67CE0"/>
    <w:rsid w:val="00F708AB"/>
    <w:rsid w:val="00F74D6A"/>
    <w:rsid w:val="00F75EE2"/>
    <w:rsid w:val="00F769DA"/>
    <w:rsid w:val="00F80DE1"/>
    <w:rsid w:val="00F816CC"/>
    <w:rsid w:val="00F82FBF"/>
    <w:rsid w:val="00F83F9A"/>
    <w:rsid w:val="00F84E9A"/>
    <w:rsid w:val="00F86419"/>
    <w:rsid w:val="00F8722B"/>
    <w:rsid w:val="00F91D88"/>
    <w:rsid w:val="00F93953"/>
    <w:rsid w:val="00FA1AC5"/>
    <w:rsid w:val="00FA6470"/>
    <w:rsid w:val="00FA6E8E"/>
    <w:rsid w:val="00FB2D7B"/>
    <w:rsid w:val="00FB4224"/>
    <w:rsid w:val="00FC2947"/>
    <w:rsid w:val="00FC36A0"/>
    <w:rsid w:val="00FD230A"/>
    <w:rsid w:val="00FD6578"/>
    <w:rsid w:val="00FE729D"/>
    <w:rsid w:val="00FF178A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974"/>
    <w:rPr>
      <w:sz w:val="24"/>
    </w:rPr>
  </w:style>
  <w:style w:type="paragraph" w:styleId="Rubrik1">
    <w:name w:val="heading 1"/>
    <w:basedOn w:val="Normal"/>
    <w:next w:val="Normal"/>
    <w:qFormat/>
    <w:rsid w:val="001405FD"/>
    <w:pPr>
      <w:keepNext/>
      <w:suppressAutoHyphens/>
      <w:spacing w:before="400" w:after="160"/>
      <w:outlineLvl w:val="0"/>
    </w:pPr>
    <w:rPr>
      <w:b/>
      <w:kern w:val="28"/>
      <w:sz w:val="36"/>
    </w:rPr>
  </w:style>
  <w:style w:type="paragraph" w:styleId="Rubrik2">
    <w:name w:val="heading 2"/>
    <w:basedOn w:val="Rubrik1"/>
    <w:next w:val="Normal"/>
    <w:qFormat/>
    <w:rsid w:val="001405FD"/>
    <w:pPr>
      <w:spacing w:before="320" w:after="120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BF59E1"/>
    <w:pPr>
      <w:keepNext/>
      <w:suppressAutoHyphens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1"/>
    <w:qFormat/>
    <w:rsid w:val="001405FD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Rubrik4"/>
    <w:next w:val="Normal"/>
    <w:qFormat/>
    <w:rsid w:val="001405FD"/>
    <w:pPr>
      <w:outlineLvl w:val="4"/>
    </w:pPr>
  </w:style>
  <w:style w:type="paragraph" w:styleId="Rubrik6">
    <w:name w:val="heading 6"/>
    <w:basedOn w:val="Rubrik4"/>
    <w:next w:val="Normal"/>
    <w:qFormat/>
    <w:rsid w:val="001405FD"/>
    <w:pPr>
      <w:outlineLvl w:val="5"/>
    </w:pPr>
  </w:style>
  <w:style w:type="paragraph" w:styleId="Rubrik7">
    <w:name w:val="heading 7"/>
    <w:basedOn w:val="Rubrik4"/>
    <w:next w:val="Normal"/>
    <w:qFormat/>
    <w:rsid w:val="001405FD"/>
    <w:pPr>
      <w:outlineLvl w:val="6"/>
    </w:pPr>
  </w:style>
  <w:style w:type="paragraph" w:styleId="Rubrik8">
    <w:name w:val="heading 8"/>
    <w:basedOn w:val="Rubrik4"/>
    <w:next w:val="Normal"/>
    <w:qFormat/>
    <w:rsid w:val="001405FD"/>
    <w:pPr>
      <w:outlineLvl w:val="7"/>
    </w:pPr>
  </w:style>
  <w:style w:type="paragraph" w:styleId="Rubrik9">
    <w:name w:val="heading 9"/>
    <w:basedOn w:val="Normal"/>
    <w:next w:val="Normal"/>
    <w:qFormat/>
    <w:rsid w:val="001405FD"/>
    <w:pPr>
      <w:spacing w:before="240" w:after="60"/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rsid w:val="001405FD"/>
    <w:rPr>
      <w:vertAlign w:val="superscript"/>
    </w:rPr>
  </w:style>
  <w:style w:type="character" w:styleId="Sidnummer">
    <w:name w:val="page number"/>
    <w:basedOn w:val="Standardstycketeckensnitt"/>
    <w:rsid w:val="001405FD"/>
  </w:style>
  <w:style w:type="paragraph" w:styleId="Sidhuvud">
    <w:name w:val="header"/>
    <w:rsid w:val="001405FD"/>
    <w:pPr>
      <w:tabs>
        <w:tab w:val="center" w:pos="4536"/>
        <w:tab w:val="right" w:pos="9072"/>
      </w:tabs>
    </w:pPr>
    <w:rPr>
      <w:rFonts w:ascii="Arial" w:hAnsi="Arial"/>
      <w:noProof/>
    </w:rPr>
  </w:style>
  <w:style w:type="paragraph" w:styleId="Sidfot">
    <w:name w:val="footer"/>
    <w:basedOn w:val="Normal"/>
    <w:rsid w:val="001405FD"/>
    <w:pPr>
      <w:tabs>
        <w:tab w:val="center" w:pos="4536"/>
        <w:tab w:val="right" w:pos="9072"/>
      </w:tabs>
      <w:spacing w:before="300"/>
      <w:jc w:val="center"/>
    </w:pPr>
  </w:style>
  <w:style w:type="paragraph" w:styleId="Beskrivning">
    <w:name w:val="caption"/>
    <w:basedOn w:val="Normal"/>
    <w:next w:val="Normal"/>
    <w:qFormat/>
    <w:rsid w:val="001405FD"/>
    <w:pPr>
      <w:keepNext/>
      <w:keepLines/>
      <w:tabs>
        <w:tab w:val="left" w:pos="1134"/>
      </w:tabs>
      <w:suppressAutoHyphens/>
      <w:spacing w:before="320" w:after="80"/>
      <w:ind w:left="1134" w:hanging="1134"/>
    </w:pPr>
    <w:rPr>
      <w:b/>
      <w:sz w:val="22"/>
    </w:rPr>
  </w:style>
  <w:style w:type="paragraph" w:styleId="Innehll1">
    <w:name w:val="toc 1"/>
    <w:basedOn w:val="Normal"/>
    <w:next w:val="Normal"/>
    <w:autoRedefine/>
    <w:rsid w:val="001405FD"/>
    <w:pPr>
      <w:tabs>
        <w:tab w:val="right" w:pos="10206"/>
      </w:tabs>
      <w:spacing w:before="160"/>
    </w:pPr>
    <w:rPr>
      <w:b/>
      <w:noProof/>
    </w:rPr>
  </w:style>
  <w:style w:type="paragraph" w:styleId="Innehll2">
    <w:name w:val="toc 2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120"/>
      <w:ind w:left="1134" w:hanging="708"/>
    </w:pPr>
    <w:rPr>
      <w:sz w:val="22"/>
    </w:rPr>
  </w:style>
  <w:style w:type="paragraph" w:styleId="Innehll3">
    <w:name w:val="toc 3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30"/>
      <w:ind w:left="1134" w:hanging="709"/>
    </w:pPr>
    <w:rPr>
      <w:i/>
      <w:sz w:val="22"/>
    </w:rPr>
  </w:style>
  <w:style w:type="paragraph" w:customStyle="1" w:styleId="tabell">
    <w:name w:val="tabell"/>
    <w:basedOn w:val="Normal"/>
    <w:rsid w:val="001405FD"/>
    <w:pPr>
      <w:keepNext/>
      <w:keepLines/>
      <w:suppressAutoHyphens/>
      <w:spacing w:before="30" w:after="30"/>
    </w:pPr>
    <w:rPr>
      <w:rFonts w:ascii="Arial" w:hAnsi="Arial"/>
      <w:sz w:val="20"/>
    </w:rPr>
  </w:style>
  <w:style w:type="paragraph" w:customStyle="1" w:styleId="tabellrubrik">
    <w:name w:val="tabellrubrik"/>
    <w:basedOn w:val="Beskrivning"/>
    <w:next w:val="Normal"/>
    <w:link w:val="tabellrubrikChar1"/>
    <w:rsid w:val="003C4AAC"/>
    <w:pPr>
      <w:ind w:left="0" w:firstLine="0"/>
    </w:pPr>
  </w:style>
  <w:style w:type="paragraph" w:customStyle="1" w:styleId="anslagstabell">
    <w:name w:val="anslagstabell"/>
    <w:basedOn w:val="Normal"/>
    <w:link w:val="anslagstabellChar"/>
    <w:rsid w:val="005B291F"/>
    <w:pPr>
      <w:keepNext/>
      <w:spacing w:before="60"/>
    </w:pPr>
    <w:rPr>
      <w:rFonts w:ascii="Arial" w:hAnsi="Arial"/>
      <w:sz w:val="18"/>
    </w:rPr>
  </w:style>
  <w:style w:type="paragraph" w:customStyle="1" w:styleId="Politikomrde">
    <w:name w:val="Politikområde"/>
    <w:basedOn w:val="Anslagsnamn"/>
    <w:rsid w:val="001405FD"/>
    <w:pPr>
      <w:pBdr>
        <w:bottom w:val="none" w:sz="0" w:space="0" w:color="auto"/>
      </w:pBdr>
      <w:spacing w:before="560" w:after="0"/>
      <w:ind w:right="0"/>
    </w:pPr>
    <w:rPr>
      <w:rFonts w:ascii="Times New Roman" w:hAnsi="Times New Roman"/>
      <w:i/>
      <w:sz w:val="36"/>
    </w:rPr>
  </w:style>
  <w:style w:type="paragraph" w:customStyle="1" w:styleId="Anslagsnamn">
    <w:name w:val="Anslagsnamn"/>
    <w:basedOn w:val="Normal"/>
    <w:next w:val="avsnittsrubrik"/>
    <w:rsid w:val="001405FD"/>
    <w:pPr>
      <w:keepNext/>
      <w:pBdr>
        <w:bottom w:val="double" w:sz="6" w:space="1" w:color="auto"/>
      </w:pBdr>
      <w:tabs>
        <w:tab w:val="left" w:pos="1134"/>
      </w:tabs>
      <w:spacing w:before="480" w:after="120"/>
      <w:ind w:left="1134" w:right="-1418" w:hanging="1134"/>
    </w:pPr>
    <w:rPr>
      <w:rFonts w:ascii="Arial" w:hAnsi="Arial"/>
      <w:b/>
      <w:sz w:val="28"/>
    </w:rPr>
  </w:style>
  <w:style w:type="paragraph" w:customStyle="1" w:styleId="avsnittsrubrik">
    <w:name w:val="avsnittsrubrik"/>
    <w:next w:val="Normal"/>
    <w:rsid w:val="00D0272F"/>
    <w:pPr>
      <w:keepNext/>
      <w:keepLines/>
      <w:tabs>
        <w:tab w:val="left" w:pos="1418"/>
      </w:tabs>
      <w:spacing w:before="360" w:after="80"/>
    </w:pPr>
    <w:rPr>
      <w:rFonts w:ascii="Arial" w:hAnsi="Arial"/>
      <w:b/>
      <w:noProof/>
      <w:sz w:val="22"/>
    </w:rPr>
  </w:style>
  <w:style w:type="paragraph" w:styleId="Fotnotstext">
    <w:name w:val="footnote text"/>
    <w:basedOn w:val="Normal"/>
    <w:next w:val="Normal"/>
    <w:rsid w:val="001405FD"/>
    <w:pPr>
      <w:keepLines/>
      <w:tabs>
        <w:tab w:val="left" w:pos="227"/>
      </w:tabs>
      <w:spacing w:before="80"/>
      <w:ind w:left="227" w:hanging="227"/>
    </w:pPr>
    <w:rPr>
      <w:sz w:val="20"/>
    </w:rPr>
  </w:style>
  <w:style w:type="paragraph" w:customStyle="1" w:styleId="tabellnot">
    <w:name w:val="tabellnot"/>
    <w:link w:val="tabellnotChar"/>
    <w:rsid w:val="001405FD"/>
    <w:pPr>
      <w:tabs>
        <w:tab w:val="left" w:pos="170"/>
      </w:tabs>
      <w:spacing w:before="80"/>
      <w:ind w:left="170" w:hanging="170"/>
    </w:pPr>
    <w:rPr>
      <w:rFonts w:ascii="Arial" w:hAnsi="Arial"/>
      <w:noProof/>
      <w:sz w:val="16"/>
    </w:rPr>
  </w:style>
  <w:style w:type="paragraph" w:customStyle="1" w:styleId="Utgiftsomrde">
    <w:name w:val="Utgiftsområde"/>
    <w:basedOn w:val="Normal"/>
    <w:rsid w:val="00F93953"/>
    <w:pPr>
      <w:keepNext/>
      <w:keepLines/>
      <w:widowControl w:val="0"/>
      <w:spacing w:before="500"/>
      <w:outlineLvl w:val="0"/>
    </w:pPr>
    <w:rPr>
      <w:b/>
      <w:i/>
      <w:sz w:val="28"/>
    </w:rPr>
  </w:style>
  <w:style w:type="paragraph" w:styleId="Figurfrteckning">
    <w:name w:val="table of figures"/>
    <w:basedOn w:val="Normal"/>
    <w:next w:val="Normal"/>
    <w:semiHidden/>
    <w:rsid w:val="001405FD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1405F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405F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405F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405F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405F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405F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405F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405F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405F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1405FD"/>
    <w:rPr>
      <w:rFonts w:ascii="Arial" w:hAnsi="Arial"/>
      <w:b/>
    </w:rPr>
  </w:style>
  <w:style w:type="paragraph" w:styleId="Innehll4">
    <w:name w:val="toc 4"/>
    <w:basedOn w:val="Innehll1"/>
    <w:next w:val="Normal"/>
    <w:autoRedefine/>
    <w:rsid w:val="001405FD"/>
    <w:pPr>
      <w:tabs>
        <w:tab w:val="left" w:pos="964"/>
        <w:tab w:val="right" w:leader="dot" w:pos="7230"/>
      </w:tabs>
    </w:pPr>
  </w:style>
  <w:style w:type="paragraph" w:styleId="Innehll5">
    <w:name w:val="toc 5"/>
    <w:basedOn w:val="Normal"/>
    <w:next w:val="Normal"/>
    <w:autoRedefine/>
    <w:semiHidden/>
    <w:rsid w:val="001405FD"/>
    <w:pPr>
      <w:ind w:left="960"/>
    </w:pPr>
  </w:style>
  <w:style w:type="paragraph" w:styleId="Innehll6">
    <w:name w:val="toc 6"/>
    <w:basedOn w:val="Normal"/>
    <w:next w:val="Normal"/>
    <w:autoRedefine/>
    <w:semiHidden/>
    <w:rsid w:val="001405FD"/>
    <w:pPr>
      <w:ind w:left="1200"/>
    </w:pPr>
  </w:style>
  <w:style w:type="paragraph" w:styleId="Innehll7">
    <w:name w:val="toc 7"/>
    <w:basedOn w:val="Normal"/>
    <w:next w:val="Normal"/>
    <w:autoRedefine/>
    <w:semiHidden/>
    <w:rsid w:val="001405FD"/>
    <w:pPr>
      <w:ind w:left="1440"/>
    </w:pPr>
  </w:style>
  <w:style w:type="paragraph" w:styleId="Innehll8">
    <w:name w:val="toc 8"/>
    <w:basedOn w:val="Normal"/>
    <w:next w:val="Normal"/>
    <w:autoRedefine/>
    <w:semiHidden/>
    <w:rsid w:val="001405FD"/>
    <w:pPr>
      <w:ind w:left="1680"/>
    </w:pPr>
  </w:style>
  <w:style w:type="paragraph" w:styleId="Innehll9">
    <w:name w:val="toc 9"/>
    <w:basedOn w:val="Normal"/>
    <w:next w:val="Normal"/>
    <w:autoRedefine/>
    <w:semiHidden/>
    <w:rsid w:val="001405FD"/>
    <w:pPr>
      <w:ind w:left="1920"/>
    </w:pPr>
  </w:style>
  <w:style w:type="paragraph" w:styleId="Kommentarer">
    <w:name w:val="annotation text"/>
    <w:basedOn w:val="Normal"/>
    <w:semiHidden/>
    <w:rsid w:val="001405FD"/>
    <w:rPr>
      <w:sz w:val="20"/>
    </w:rPr>
  </w:style>
  <w:style w:type="paragraph" w:styleId="Slutkommentar">
    <w:name w:val="endnote text"/>
    <w:basedOn w:val="Normal"/>
    <w:semiHidden/>
    <w:rsid w:val="001405FD"/>
    <w:rPr>
      <w:sz w:val="20"/>
    </w:rPr>
  </w:style>
  <w:style w:type="paragraph" w:customStyle="1" w:styleId="anslagspostrubrik">
    <w:name w:val="anslagspostrubrik"/>
    <w:basedOn w:val="Normal"/>
    <w:next w:val="Normal"/>
    <w:rsid w:val="00856ECA"/>
    <w:pPr>
      <w:keepNext/>
      <w:tabs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before="320" w:after="160"/>
      <w:ind w:left="1418" w:hanging="1418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1405FD"/>
    <w:rPr>
      <w:rFonts w:ascii="Tahoma" w:hAnsi="Tahoma" w:cs="Tahoma"/>
      <w:sz w:val="16"/>
      <w:szCs w:val="16"/>
    </w:rPr>
  </w:style>
  <w:style w:type="paragraph" w:customStyle="1" w:styleId="Bilagerubrikmm">
    <w:name w:val="Bilagerubrik m m"/>
    <w:basedOn w:val="Politikomrde"/>
    <w:rsid w:val="001405FD"/>
    <w:pPr>
      <w:spacing w:after="400"/>
      <w:ind w:left="0" w:firstLine="0"/>
    </w:pPr>
  </w:style>
  <w:style w:type="paragraph" w:customStyle="1" w:styleId="anslagstabell-hgerstlld">
    <w:name w:val="anslagstabell - högerställd"/>
    <w:basedOn w:val="anslagstabell"/>
    <w:link w:val="anslagstabell-hgerstlldChar"/>
    <w:rsid w:val="008958A0"/>
    <w:pPr>
      <w:jc w:val="right"/>
    </w:pPr>
    <w:rPr>
      <w:szCs w:val="18"/>
    </w:rPr>
  </w:style>
  <w:style w:type="paragraph" w:customStyle="1" w:styleId="anslagstabelll-huvudfet">
    <w:name w:val="anslagstabelll - huvud fet"/>
    <w:basedOn w:val="anslagstabell-huvud"/>
    <w:link w:val="anslagstabelll-huvudfetChar"/>
    <w:rsid w:val="006646A8"/>
    <w:pPr>
      <w:keepNext w:val="0"/>
    </w:pPr>
    <w:rPr>
      <w:b/>
      <w:sz w:val="18"/>
    </w:rPr>
  </w:style>
  <w:style w:type="paragraph" w:customStyle="1" w:styleId="anslagstabell-huvud">
    <w:name w:val="anslagstabell - huvud"/>
    <w:basedOn w:val="anslagstabell"/>
    <w:rsid w:val="005B291F"/>
    <w:pPr>
      <w:keepLines/>
    </w:pPr>
    <w:rPr>
      <w:sz w:val="16"/>
    </w:rPr>
  </w:style>
  <w:style w:type="table" w:styleId="Tabellrutnt">
    <w:name w:val="Table Grid"/>
    <w:basedOn w:val="Normaltabell"/>
    <w:rsid w:val="003E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lagstabellChar">
    <w:name w:val="anslagstabell Char"/>
    <w:link w:val="anslagstabell"/>
    <w:rsid w:val="007753FF"/>
    <w:rPr>
      <w:rFonts w:ascii="Arial" w:hAnsi="Arial"/>
      <w:sz w:val="18"/>
      <w:lang w:val="sv-SE" w:eastAsia="sv-SE" w:bidi="ar-SA"/>
    </w:rPr>
  </w:style>
  <w:style w:type="character" w:customStyle="1" w:styleId="versikt-fet">
    <w:name w:val="Översikt-fet"/>
    <w:rsid w:val="006646A8"/>
    <w:rPr>
      <w:rFonts w:ascii="Arial" w:hAnsi="Arial"/>
      <w:b/>
      <w:sz w:val="20"/>
    </w:rPr>
  </w:style>
  <w:style w:type="paragraph" w:customStyle="1" w:styleId="anslagstabellhngande1">
    <w:name w:val="anslagstabell hängande 1"/>
    <w:aliases w:val="3"/>
    <w:basedOn w:val="anslagstabell"/>
    <w:rsid w:val="009E0AA4"/>
    <w:pPr>
      <w:ind w:left="737" w:hanging="737"/>
    </w:pPr>
  </w:style>
  <w:style w:type="character" w:customStyle="1" w:styleId="tabellnotChar">
    <w:name w:val="tabellnot Char"/>
    <w:link w:val="tabellnot"/>
    <w:rsid w:val="00EF0FD8"/>
    <w:rPr>
      <w:rFonts w:ascii="Arial" w:hAnsi="Arial"/>
      <w:noProof/>
      <w:sz w:val="16"/>
      <w:lang w:val="sv-SE" w:eastAsia="sv-SE" w:bidi="ar-SA"/>
    </w:rPr>
  </w:style>
  <w:style w:type="character" w:customStyle="1" w:styleId="Rubrik3Char">
    <w:name w:val="Rubrik 3 Char"/>
    <w:link w:val="Rubrik3"/>
    <w:rsid w:val="00E25003"/>
    <w:rPr>
      <w:b/>
      <w:sz w:val="24"/>
      <w:lang w:val="sv-SE" w:eastAsia="sv-SE" w:bidi="ar-SA"/>
    </w:rPr>
  </w:style>
  <w:style w:type="character" w:customStyle="1" w:styleId="Rubrik4Char1">
    <w:name w:val="Rubrik 4 Char1"/>
    <w:link w:val="Rubrik4"/>
    <w:rsid w:val="00E25003"/>
    <w:rPr>
      <w:i/>
      <w:sz w:val="24"/>
      <w:lang w:val="sv-SE" w:eastAsia="sv-SE" w:bidi="ar-SA"/>
    </w:rPr>
  </w:style>
  <w:style w:type="character" w:customStyle="1" w:styleId="tabellrubrikChar1">
    <w:name w:val="tabellrubrik Char1"/>
    <w:link w:val="tabellrubrik"/>
    <w:rsid w:val="00E25003"/>
    <w:rPr>
      <w:b/>
      <w:sz w:val="22"/>
      <w:lang w:val="sv-SE" w:eastAsia="sv-SE" w:bidi="ar-SA"/>
    </w:rPr>
  </w:style>
  <w:style w:type="paragraph" w:customStyle="1" w:styleId="Bildplats">
    <w:name w:val="Bildplats"/>
    <w:basedOn w:val="Normal"/>
    <w:rsid w:val="00E25003"/>
    <w:pPr>
      <w:spacing w:after="120"/>
      <w:ind w:left="-113"/>
    </w:pPr>
    <w:rPr>
      <w:sz w:val="22"/>
    </w:rPr>
  </w:style>
  <w:style w:type="table" w:styleId="Enkeltabell1">
    <w:name w:val="Table Simple 1"/>
    <w:basedOn w:val="Normaltabell"/>
    <w:rsid w:val="005A2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U-tabell-grund">
    <w:name w:val="BU-tabell-grund"/>
    <w:basedOn w:val="tabell"/>
    <w:link w:val="BU-tabell-grundChar"/>
    <w:rsid w:val="005A22A3"/>
    <w:pPr>
      <w:spacing w:before="20" w:after="20"/>
    </w:pPr>
    <w:rPr>
      <w:iCs/>
      <w:sz w:val="18"/>
      <w:szCs w:val="18"/>
    </w:rPr>
  </w:style>
  <w:style w:type="character" w:customStyle="1" w:styleId="BU-tabell-grundChar">
    <w:name w:val="BU-tabell-grund Char"/>
    <w:link w:val="BU-tabell-grund"/>
    <w:rsid w:val="005A22A3"/>
    <w:rPr>
      <w:rFonts w:ascii="Arial" w:hAnsi="Arial"/>
      <w:iCs/>
      <w:sz w:val="18"/>
      <w:szCs w:val="18"/>
      <w:lang w:val="sv-SE" w:eastAsia="sv-SE" w:bidi="ar-SA"/>
    </w:rPr>
  </w:style>
  <w:style w:type="paragraph" w:styleId="Brdtext">
    <w:name w:val="Body Text"/>
    <w:basedOn w:val="Normal"/>
    <w:rsid w:val="005A22A3"/>
    <w:pPr>
      <w:tabs>
        <w:tab w:val="left" w:pos="0"/>
        <w:tab w:val="left" w:pos="397"/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color w:val="FF0000"/>
    </w:rPr>
  </w:style>
  <w:style w:type="paragraph" w:customStyle="1" w:styleId="Default">
    <w:name w:val="Default"/>
    <w:rsid w:val="005A22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rsid w:val="005A22A3"/>
    <w:rPr>
      <w:color w:val="0000FF"/>
      <w:u w:val="single"/>
    </w:rPr>
  </w:style>
  <w:style w:type="character" w:customStyle="1" w:styleId="41002637">
    <w:name w:val="41002637"/>
    <w:semiHidden/>
    <w:rsid w:val="005A22A3"/>
    <w:rPr>
      <w:rFonts w:ascii="Arial" w:hAnsi="Arial" w:cs="Arial"/>
      <w:color w:val="auto"/>
      <w:sz w:val="20"/>
      <w:szCs w:val="20"/>
    </w:rPr>
  </w:style>
  <w:style w:type="character" w:customStyle="1" w:styleId="anslagstabelll-huvudfetChar">
    <w:name w:val="anslagstabelll - huvud fet Char"/>
    <w:link w:val="anslagstabelll-huvudfet"/>
    <w:rsid w:val="00474CD9"/>
    <w:rPr>
      <w:rFonts w:ascii="Arial" w:hAnsi="Arial"/>
      <w:b/>
      <w:sz w:val="18"/>
      <w:lang w:val="sv-SE" w:eastAsia="sv-SE" w:bidi="ar-SA"/>
    </w:rPr>
  </w:style>
  <w:style w:type="character" w:customStyle="1" w:styleId="Rubrik4Char">
    <w:name w:val="Rubrik 4 Char"/>
    <w:rsid w:val="005B0D65"/>
    <w:rPr>
      <w:i/>
      <w:sz w:val="24"/>
      <w:lang w:val="sv-SE" w:eastAsia="sv-SE" w:bidi="ar-SA"/>
    </w:rPr>
  </w:style>
  <w:style w:type="character" w:styleId="Betoning">
    <w:name w:val="Emphasis"/>
    <w:qFormat/>
    <w:rsid w:val="00424896"/>
    <w:rPr>
      <w:i/>
      <w:iCs/>
    </w:rPr>
  </w:style>
  <w:style w:type="character" w:styleId="AnvndHyperlnk">
    <w:name w:val="FollowedHyperlink"/>
    <w:rsid w:val="00370D93"/>
    <w:rPr>
      <w:color w:val="800000"/>
      <w:u w:val="single"/>
    </w:rPr>
  </w:style>
  <w:style w:type="character" w:customStyle="1" w:styleId="anslagstabell-hgerstlldChar">
    <w:name w:val="anslagstabell - högerställd Char"/>
    <w:link w:val="anslagstabell-hgerstlld"/>
    <w:rsid w:val="00970288"/>
    <w:rPr>
      <w:rFonts w:ascii="Arial" w:hAnsi="Arial"/>
      <w:sz w:val="18"/>
      <w:szCs w:val="18"/>
      <w:lang w:val="sv-SE" w:eastAsia="sv-SE" w:bidi="ar-SA"/>
    </w:rPr>
  </w:style>
  <w:style w:type="paragraph" w:styleId="Adress-brev">
    <w:name w:val="envelope address"/>
    <w:basedOn w:val="Normal"/>
    <w:rsid w:val="00894B4B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nteckningsrubrik">
    <w:name w:val="Note Heading"/>
    <w:basedOn w:val="Normal"/>
    <w:next w:val="Normal"/>
    <w:rsid w:val="00894B4B"/>
  </w:style>
  <w:style w:type="paragraph" w:styleId="Avslutandetext">
    <w:name w:val="Closing"/>
    <w:basedOn w:val="Normal"/>
    <w:rsid w:val="00894B4B"/>
    <w:pPr>
      <w:ind w:left="4252"/>
    </w:pPr>
  </w:style>
  <w:style w:type="paragraph" w:styleId="Avsndaradress-brev">
    <w:name w:val="envelope return"/>
    <w:basedOn w:val="Normal"/>
    <w:rsid w:val="00894B4B"/>
    <w:rPr>
      <w:rFonts w:ascii="Arial" w:hAnsi="Arial" w:cs="Arial"/>
      <w:sz w:val="20"/>
    </w:rPr>
  </w:style>
  <w:style w:type="paragraph" w:styleId="Brdtext2">
    <w:name w:val="Body Text 2"/>
    <w:basedOn w:val="Normal"/>
    <w:rsid w:val="00894B4B"/>
    <w:pPr>
      <w:spacing w:after="120" w:line="480" w:lineRule="auto"/>
    </w:pPr>
  </w:style>
  <w:style w:type="paragraph" w:styleId="Brdtext3">
    <w:name w:val="Body Text 3"/>
    <w:basedOn w:val="Normal"/>
    <w:rsid w:val="00894B4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94B4B"/>
    <w:pPr>
      <w:tabs>
        <w:tab w:val="clear" w:pos="0"/>
        <w:tab w:val="clear" w:pos="397"/>
        <w:tab w:val="clear" w:pos="68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after="120"/>
      <w:ind w:firstLine="210"/>
    </w:pPr>
    <w:rPr>
      <w:color w:val="auto"/>
    </w:rPr>
  </w:style>
  <w:style w:type="paragraph" w:styleId="Brdtextmedindrag">
    <w:name w:val="Body Text Indent"/>
    <w:basedOn w:val="Normal"/>
    <w:rsid w:val="00894B4B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94B4B"/>
    <w:pPr>
      <w:ind w:firstLine="210"/>
    </w:pPr>
  </w:style>
  <w:style w:type="paragraph" w:styleId="Brdtextmedindrag2">
    <w:name w:val="Body Text Indent 2"/>
    <w:basedOn w:val="Normal"/>
    <w:rsid w:val="00894B4B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94B4B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94B4B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94B4B"/>
    <w:pPr>
      <w:spacing w:before="120"/>
    </w:pPr>
    <w:rPr>
      <w:rFonts w:ascii="Arial" w:hAnsi="Arial" w:cs="Arial"/>
      <w:b/>
      <w:bCs/>
      <w:szCs w:val="24"/>
    </w:rPr>
  </w:style>
  <w:style w:type="paragraph" w:styleId="Datum">
    <w:name w:val="Date"/>
    <w:basedOn w:val="Normal"/>
    <w:next w:val="Normal"/>
    <w:rsid w:val="00894B4B"/>
  </w:style>
  <w:style w:type="paragraph" w:styleId="Dokumentversikt">
    <w:name w:val="Document Map"/>
    <w:basedOn w:val="Normal"/>
    <w:semiHidden/>
    <w:rsid w:val="00894B4B"/>
    <w:pPr>
      <w:shd w:val="clear" w:color="auto" w:fill="000080"/>
    </w:pPr>
    <w:rPr>
      <w:rFonts w:ascii="Tahoma" w:hAnsi="Tahoma" w:cs="Tahoma"/>
      <w:sz w:val="20"/>
    </w:rPr>
  </w:style>
  <w:style w:type="paragraph" w:styleId="E-postsignatur">
    <w:name w:val="E-mail Signature"/>
    <w:basedOn w:val="Normal"/>
    <w:rsid w:val="00894B4B"/>
  </w:style>
  <w:style w:type="paragraph" w:styleId="HTML-adress">
    <w:name w:val="HTML Address"/>
    <w:basedOn w:val="Normal"/>
    <w:rsid w:val="00894B4B"/>
    <w:rPr>
      <w:i/>
      <w:iCs/>
    </w:rPr>
  </w:style>
  <w:style w:type="paragraph" w:styleId="HTML-frformaterad">
    <w:name w:val="HTML Preformatted"/>
    <w:basedOn w:val="Normal"/>
    <w:rsid w:val="00894B4B"/>
    <w:rPr>
      <w:rFonts w:ascii="Courier New" w:hAnsi="Courier New" w:cs="Courier New"/>
      <w:sz w:val="20"/>
    </w:rPr>
  </w:style>
  <w:style w:type="paragraph" w:styleId="Indragetstycke">
    <w:name w:val="Block Text"/>
    <w:basedOn w:val="Normal"/>
    <w:rsid w:val="00894B4B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94B4B"/>
  </w:style>
  <w:style w:type="paragraph" w:styleId="Kommentarsmne">
    <w:name w:val="annotation subject"/>
    <w:basedOn w:val="Kommentarer"/>
    <w:next w:val="Kommentarer"/>
    <w:semiHidden/>
    <w:rsid w:val="00894B4B"/>
    <w:rPr>
      <w:b/>
      <w:bCs/>
    </w:rPr>
  </w:style>
  <w:style w:type="paragraph" w:styleId="Lista">
    <w:name w:val="List"/>
    <w:basedOn w:val="Normal"/>
    <w:rsid w:val="00894B4B"/>
    <w:pPr>
      <w:ind w:left="283" w:hanging="283"/>
    </w:pPr>
  </w:style>
  <w:style w:type="paragraph" w:styleId="Lista2">
    <w:name w:val="List 2"/>
    <w:basedOn w:val="Normal"/>
    <w:rsid w:val="00894B4B"/>
    <w:pPr>
      <w:ind w:left="566" w:hanging="283"/>
    </w:pPr>
  </w:style>
  <w:style w:type="paragraph" w:styleId="Lista3">
    <w:name w:val="List 3"/>
    <w:basedOn w:val="Normal"/>
    <w:rsid w:val="00894B4B"/>
    <w:pPr>
      <w:ind w:left="849" w:hanging="283"/>
    </w:pPr>
  </w:style>
  <w:style w:type="paragraph" w:styleId="Lista4">
    <w:name w:val="List 4"/>
    <w:basedOn w:val="Normal"/>
    <w:rsid w:val="00894B4B"/>
    <w:pPr>
      <w:ind w:left="1132" w:hanging="283"/>
    </w:pPr>
  </w:style>
  <w:style w:type="paragraph" w:styleId="Lista5">
    <w:name w:val="List 5"/>
    <w:basedOn w:val="Normal"/>
    <w:rsid w:val="00894B4B"/>
    <w:pPr>
      <w:ind w:left="1415" w:hanging="283"/>
    </w:pPr>
  </w:style>
  <w:style w:type="paragraph" w:styleId="Listafortstt">
    <w:name w:val="List Continue"/>
    <w:basedOn w:val="Normal"/>
    <w:rsid w:val="00894B4B"/>
    <w:pPr>
      <w:spacing w:after="120"/>
      <w:ind w:left="283"/>
    </w:pPr>
  </w:style>
  <w:style w:type="paragraph" w:styleId="Listafortstt2">
    <w:name w:val="List Continue 2"/>
    <w:basedOn w:val="Normal"/>
    <w:rsid w:val="00894B4B"/>
    <w:pPr>
      <w:spacing w:after="120"/>
      <w:ind w:left="566"/>
    </w:pPr>
  </w:style>
  <w:style w:type="paragraph" w:styleId="Listafortstt3">
    <w:name w:val="List Continue 3"/>
    <w:basedOn w:val="Normal"/>
    <w:rsid w:val="00894B4B"/>
    <w:pPr>
      <w:spacing w:after="120"/>
      <w:ind w:left="849"/>
    </w:pPr>
  </w:style>
  <w:style w:type="paragraph" w:styleId="Listafortstt4">
    <w:name w:val="List Continue 4"/>
    <w:basedOn w:val="Normal"/>
    <w:rsid w:val="00894B4B"/>
    <w:pPr>
      <w:spacing w:after="120"/>
      <w:ind w:left="1132"/>
    </w:pPr>
  </w:style>
  <w:style w:type="paragraph" w:styleId="Listafortstt5">
    <w:name w:val="List Continue 5"/>
    <w:basedOn w:val="Normal"/>
    <w:rsid w:val="00894B4B"/>
    <w:pPr>
      <w:spacing w:after="120"/>
      <w:ind w:left="1415"/>
    </w:pPr>
  </w:style>
  <w:style w:type="paragraph" w:styleId="Makrotext">
    <w:name w:val="macro"/>
    <w:semiHidden/>
    <w:rsid w:val="00894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94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b">
    <w:name w:val="Normal (Web)"/>
    <w:basedOn w:val="Normal"/>
    <w:rsid w:val="00894B4B"/>
    <w:rPr>
      <w:szCs w:val="24"/>
    </w:rPr>
  </w:style>
  <w:style w:type="paragraph" w:styleId="Normaltindrag">
    <w:name w:val="Normal Indent"/>
    <w:basedOn w:val="Normal"/>
    <w:rsid w:val="00894B4B"/>
    <w:pPr>
      <w:ind w:left="1304"/>
    </w:pPr>
  </w:style>
  <w:style w:type="paragraph" w:styleId="Numreradlista">
    <w:name w:val="List Number"/>
    <w:basedOn w:val="Normal"/>
    <w:rsid w:val="00894B4B"/>
    <w:pPr>
      <w:numPr>
        <w:numId w:val="1"/>
      </w:numPr>
    </w:pPr>
  </w:style>
  <w:style w:type="paragraph" w:styleId="Numreradlista2">
    <w:name w:val="List Number 2"/>
    <w:basedOn w:val="Normal"/>
    <w:rsid w:val="00894B4B"/>
    <w:pPr>
      <w:numPr>
        <w:numId w:val="2"/>
      </w:numPr>
    </w:pPr>
  </w:style>
  <w:style w:type="paragraph" w:styleId="Numreradlista3">
    <w:name w:val="List Number 3"/>
    <w:basedOn w:val="Normal"/>
    <w:rsid w:val="00894B4B"/>
    <w:pPr>
      <w:numPr>
        <w:numId w:val="3"/>
      </w:numPr>
    </w:pPr>
  </w:style>
  <w:style w:type="paragraph" w:styleId="Numreradlista4">
    <w:name w:val="List Number 4"/>
    <w:basedOn w:val="Normal"/>
    <w:rsid w:val="00894B4B"/>
    <w:pPr>
      <w:numPr>
        <w:numId w:val="4"/>
      </w:numPr>
    </w:pPr>
  </w:style>
  <w:style w:type="paragraph" w:styleId="Numreradlista5">
    <w:name w:val="List Number 5"/>
    <w:basedOn w:val="Normal"/>
    <w:rsid w:val="00894B4B"/>
    <w:pPr>
      <w:numPr>
        <w:numId w:val="5"/>
      </w:numPr>
    </w:pPr>
  </w:style>
  <w:style w:type="paragraph" w:styleId="Oformateradtext">
    <w:name w:val="Plain Text"/>
    <w:basedOn w:val="Normal"/>
    <w:rsid w:val="00894B4B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894B4B"/>
    <w:pPr>
      <w:numPr>
        <w:numId w:val="6"/>
      </w:numPr>
    </w:pPr>
  </w:style>
  <w:style w:type="paragraph" w:styleId="Punktlista2">
    <w:name w:val="List Bullet 2"/>
    <w:basedOn w:val="Normal"/>
    <w:rsid w:val="00894B4B"/>
    <w:pPr>
      <w:numPr>
        <w:numId w:val="7"/>
      </w:numPr>
    </w:pPr>
  </w:style>
  <w:style w:type="paragraph" w:styleId="Punktlista3">
    <w:name w:val="List Bullet 3"/>
    <w:basedOn w:val="Normal"/>
    <w:rsid w:val="00894B4B"/>
    <w:pPr>
      <w:numPr>
        <w:numId w:val="8"/>
      </w:numPr>
    </w:pPr>
  </w:style>
  <w:style w:type="paragraph" w:styleId="Punktlista4">
    <w:name w:val="List Bullet 4"/>
    <w:basedOn w:val="Normal"/>
    <w:rsid w:val="00894B4B"/>
    <w:pPr>
      <w:numPr>
        <w:numId w:val="9"/>
      </w:numPr>
    </w:pPr>
  </w:style>
  <w:style w:type="paragraph" w:styleId="Punktlista5">
    <w:name w:val="List Bullet 5"/>
    <w:basedOn w:val="Normal"/>
    <w:rsid w:val="00894B4B"/>
    <w:pPr>
      <w:numPr>
        <w:numId w:val="10"/>
      </w:numPr>
    </w:pPr>
  </w:style>
  <w:style w:type="paragraph" w:styleId="Rubrik">
    <w:name w:val="Title"/>
    <w:basedOn w:val="Normal"/>
    <w:qFormat/>
    <w:rsid w:val="00894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94B4B"/>
    <w:pPr>
      <w:ind w:left="4252"/>
    </w:pPr>
  </w:style>
  <w:style w:type="paragraph" w:styleId="Underrubrik">
    <w:name w:val="Subtitle"/>
    <w:basedOn w:val="Normal"/>
    <w:qFormat/>
    <w:rsid w:val="00894B4B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zDatum">
    <w:name w:val="zDatum"/>
    <w:basedOn w:val="Normal"/>
    <w:rsid w:val="00841615"/>
    <w:pPr>
      <w:spacing w:before="220"/>
    </w:pPr>
    <w:rPr>
      <w:rFonts w:ascii="Verdana" w:hAnsi="Verdana"/>
      <w:sz w:val="18"/>
      <w:szCs w:val="18"/>
    </w:rPr>
  </w:style>
  <w:style w:type="paragraph" w:customStyle="1" w:styleId="zStatus">
    <w:name w:val="zStatus"/>
    <w:basedOn w:val="Normal"/>
    <w:next w:val="Normal"/>
    <w:rsid w:val="00841615"/>
    <w:pPr>
      <w:spacing w:before="460" w:line="500" w:lineRule="exact"/>
    </w:pPr>
    <w:rPr>
      <w:rFonts w:ascii="Verdana" w:hAnsi="Verdana"/>
      <w:caps/>
      <w:sz w:val="36"/>
      <w:szCs w:val="36"/>
    </w:rPr>
  </w:style>
  <w:style w:type="paragraph" w:customStyle="1" w:styleId="zTypAvDokument">
    <w:name w:val="zTypAvDokument"/>
    <w:basedOn w:val="Normal"/>
    <w:rsid w:val="00841615"/>
    <w:pPr>
      <w:spacing w:before="180"/>
    </w:pPr>
    <w:rPr>
      <w:rFonts w:ascii="Verdana" w:hAnsi="Verdana"/>
      <w:sz w:val="22"/>
      <w:szCs w:val="22"/>
    </w:rPr>
  </w:style>
  <w:style w:type="paragraph" w:customStyle="1" w:styleId="zDnr">
    <w:name w:val="zDnr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okbet">
    <w:name w:val="zDokbet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Version">
    <w:name w:val="zVersion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nrLedtext">
    <w:name w:val="zDnr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VersionLedtext">
    <w:name w:val="zVersionLedtext"/>
    <w:basedOn w:val="Normal"/>
    <w:rsid w:val="00841615"/>
    <w:pPr>
      <w:spacing w:before="40"/>
      <w:ind w:right="-68"/>
    </w:pPr>
    <w:rPr>
      <w:rFonts w:ascii="Verdana" w:hAnsi="Verdana"/>
      <w:sz w:val="14"/>
      <w:szCs w:val="14"/>
    </w:rPr>
  </w:style>
  <w:style w:type="paragraph" w:customStyle="1" w:styleId="zDokbetLedtext">
    <w:name w:val="zDokbet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BrevhuvudLedtext">
    <w:name w:val="zBrevhuvud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Sidhuvud">
    <w:name w:val="zSidhuvud"/>
    <w:basedOn w:val="Normal"/>
    <w:rsid w:val="00D940DA"/>
    <w:pPr>
      <w:jc w:val="right"/>
    </w:pPr>
    <w:rPr>
      <w:rFonts w:ascii="Verdana" w:hAnsi="Verdana"/>
      <w:sz w:val="18"/>
      <w:szCs w:val="18"/>
    </w:rPr>
  </w:style>
  <w:style w:type="paragraph" w:customStyle="1" w:styleId="Titel2">
    <w:name w:val="Titel 2"/>
    <w:basedOn w:val="Normal"/>
    <w:rsid w:val="004307AF"/>
    <w:pPr>
      <w:spacing w:before="280" w:after="200" w:line="280" w:lineRule="atLeast"/>
    </w:pPr>
    <w:rPr>
      <w:rFonts w:ascii="Verdana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974"/>
    <w:rPr>
      <w:sz w:val="24"/>
    </w:rPr>
  </w:style>
  <w:style w:type="paragraph" w:styleId="Rubrik1">
    <w:name w:val="heading 1"/>
    <w:basedOn w:val="Normal"/>
    <w:next w:val="Normal"/>
    <w:qFormat/>
    <w:rsid w:val="001405FD"/>
    <w:pPr>
      <w:keepNext/>
      <w:suppressAutoHyphens/>
      <w:spacing w:before="400" w:after="160"/>
      <w:outlineLvl w:val="0"/>
    </w:pPr>
    <w:rPr>
      <w:b/>
      <w:kern w:val="28"/>
      <w:sz w:val="36"/>
    </w:rPr>
  </w:style>
  <w:style w:type="paragraph" w:styleId="Rubrik2">
    <w:name w:val="heading 2"/>
    <w:basedOn w:val="Rubrik1"/>
    <w:next w:val="Normal"/>
    <w:qFormat/>
    <w:rsid w:val="001405FD"/>
    <w:pPr>
      <w:spacing w:before="320" w:after="120"/>
      <w:outlineLvl w:val="1"/>
    </w:pPr>
    <w:rPr>
      <w:sz w:val="28"/>
    </w:rPr>
  </w:style>
  <w:style w:type="paragraph" w:styleId="Rubrik3">
    <w:name w:val="heading 3"/>
    <w:basedOn w:val="Normal"/>
    <w:next w:val="Normal"/>
    <w:link w:val="Rubrik3Char"/>
    <w:qFormat/>
    <w:rsid w:val="00BF59E1"/>
    <w:pPr>
      <w:keepNext/>
      <w:suppressAutoHyphens/>
      <w:spacing w:before="240" w:after="60"/>
      <w:outlineLvl w:val="2"/>
    </w:pPr>
    <w:rPr>
      <w:b/>
    </w:rPr>
  </w:style>
  <w:style w:type="paragraph" w:styleId="Rubrik4">
    <w:name w:val="heading 4"/>
    <w:basedOn w:val="Normal"/>
    <w:next w:val="Normal"/>
    <w:link w:val="Rubrik4Char1"/>
    <w:qFormat/>
    <w:rsid w:val="001405FD"/>
    <w:pPr>
      <w:keepNext/>
      <w:spacing w:before="240" w:after="60"/>
      <w:outlineLvl w:val="3"/>
    </w:pPr>
    <w:rPr>
      <w:i/>
    </w:rPr>
  </w:style>
  <w:style w:type="paragraph" w:styleId="Rubrik5">
    <w:name w:val="heading 5"/>
    <w:basedOn w:val="Rubrik4"/>
    <w:next w:val="Normal"/>
    <w:qFormat/>
    <w:rsid w:val="001405FD"/>
    <w:pPr>
      <w:outlineLvl w:val="4"/>
    </w:pPr>
  </w:style>
  <w:style w:type="paragraph" w:styleId="Rubrik6">
    <w:name w:val="heading 6"/>
    <w:basedOn w:val="Rubrik4"/>
    <w:next w:val="Normal"/>
    <w:qFormat/>
    <w:rsid w:val="001405FD"/>
    <w:pPr>
      <w:outlineLvl w:val="5"/>
    </w:pPr>
  </w:style>
  <w:style w:type="paragraph" w:styleId="Rubrik7">
    <w:name w:val="heading 7"/>
    <w:basedOn w:val="Rubrik4"/>
    <w:next w:val="Normal"/>
    <w:qFormat/>
    <w:rsid w:val="001405FD"/>
    <w:pPr>
      <w:outlineLvl w:val="6"/>
    </w:pPr>
  </w:style>
  <w:style w:type="paragraph" w:styleId="Rubrik8">
    <w:name w:val="heading 8"/>
    <w:basedOn w:val="Rubrik4"/>
    <w:next w:val="Normal"/>
    <w:qFormat/>
    <w:rsid w:val="001405FD"/>
    <w:pPr>
      <w:outlineLvl w:val="7"/>
    </w:pPr>
  </w:style>
  <w:style w:type="paragraph" w:styleId="Rubrik9">
    <w:name w:val="heading 9"/>
    <w:basedOn w:val="Normal"/>
    <w:next w:val="Normal"/>
    <w:qFormat/>
    <w:rsid w:val="001405FD"/>
    <w:pPr>
      <w:spacing w:before="240" w:after="60"/>
      <w:outlineLvl w:val="8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Fotnotsreferens">
    <w:name w:val="footnote reference"/>
    <w:rsid w:val="001405FD"/>
    <w:rPr>
      <w:vertAlign w:val="superscript"/>
    </w:rPr>
  </w:style>
  <w:style w:type="character" w:styleId="Sidnummer">
    <w:name w:val="page number"/>
    <w:basedOn w:val="Standardstycketeckensnitt"/>
    <w:rsid w:val="001405FD"/>
  </w:style>
  <w:style w:type="paragraph" w:styleId="Sidhuvud">
    <w:name w:val="header"/>
    <w:rsid w:val="001405FD"/>
    <w:pPr>
      <w:tabs>
        <w:tab w:val="center" w:pos="4536"/>
        <w:tab w:val="right" w:pos="9072"/>
      </w:tabs>
    </w:pPr>
    <w:rPr>
      <w:rFonts w:ascii="Arial" w:hAnsi="Arial"/>
      <w:noProof/>
    </w:rPr>
  </w:style>
  <w:style w:type="paragraph" w:styleId="Sidfot">
    <w:name w:val="footer"/>
    <w:basedOn w:val="Normal"/>
    <w:rsid w:val="001405FD"/>
    <w:pPr>
      <w:tabs>
        <w:tab w:val="center" w:pos="4536"/>
        <w:tab w:val="right" w:pos="9072"/>
      </w:tabs>
      <w:spacing w:before="300"/>
      <w:jc w:val="center"/>
    </w:pPr>
  </w:style>
  <w:style w:type="paragraph" w:styleId="Beskrivning">
    <w:name w:val="caption"/>
    <w:basedOn w:val="Normal"/>
    <w:next w:val="Normal"/>
    <w:qFormat/>
    <w:rsid w:val="001405FD"/>
    <w:pPr>
      <w:keepNext/>
      <w:keepLines/>
      <w:tabs>
        <w:tab w:val="left" w:pos="1134"/>
      </w:tabs>
      <w:suppressAutoHyphens/>
      <w:spacing w:before="320" w:after="80"/>
      <w:ind w:left="1134" w:hanging="1134"/>
    </w:pPr>
    <w:rPr>
      <w:b/>
      <w:sz w:val="22"/>
    </w:rPr>
  </w:style>
  <w:style w:type="paragraph" w:styleId="Innehll1">
    <w:name w:val="toc 1"/>
    <w:basedOn w:val="Normal"/>
    <w:next w:val="Normal"/>
    <w:autoRedefine/>
    <w:rsid w:val="001405FD"/>
    <w:pPr>
      <w:tabs>
        <w:tab w:val="right" w:pos="10206"/>
      </w:tabs>
      <w:spacing w:before="160"/>
    </w:pPr>
    <w:rPr>
      <w:b/>
      <w:noProof/>
    </w:rPr>
  </w:style>
  <w:style w:type="paragraph" w:styleId="Innehll2">
    <w:name w:val="toc 2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120"/>
      <w:ind w:left="1134" w:hanging="708"/>
    </w:pPr>
    <w:rPr>
      <w:sz w:val="22"/>
    </w:rPr>
  </w:style>
  <w:style w:type="paragraph" w:styleId="Innehll3">
    <w:name w:val="toc 3"/>
    <w:basedOn w:val="Normal"/>
    <w:next w:val="Normal"/>
    <w:autoRedefine/>
    <w:rsid w:val="001405FD"/>
    <w:pPr>
      <w:tabs>
        <w:tab w:val="left" w:pos="1134"/>
        <w:tab w:val="right" w:leader="dot" w:pos="7229"/>
      </w:tabs>
      <w:spacing w:before="30"/>
      <w:ind w:left="1134" w:hanging="709"/>
    </w:pPr>
    <w:rPr>
      <w:i/>
      <w:sz w:val="22"/>
    </w:rPr>
  </w:style>
  <w:style w:type="paragraph" w:customStyle="1" w:styleId="tabell">
    <w:name w:val="tabell"/>
    <w:basedOn w:val="Normal"/>
    <w:rsid w:val="001405FD"/>
    <w:pPr>
      <w:keepNext/>
      <w:keepLines/>
      <w:suppressAutoHyphens/>
      <w:spacing w:before="30" w:after="30"/>
    </w:pPr>
    <w:rPr>
      <w:rFonts w:ascii="Arial" w:hAnsi="Arial"/>
      <w:sz w:val="20"/>
    </w:rPr>
  </w:style>
  <w:style w:type="paragraph" w:customStyle="1" w:styleId="tabellrubrik">
    <w:name w:val="tabellrubrik"/>
    <w:basedOn w:val="Beskrivning"/>
    <w:next w:val="Normal"/>
    <w:link w:val="tabellrubrikChar1"/>
    <w:rsid w:val="003C4AAC"/>
    <w:pPr>
      <w:ind w:left="0" w:firstLine="0"/>
    </w:pPr>
  </w:style>
  <w:style w:type="paragraph" w:customStyle="1" w:styleId="anslagstabell">
    <w:name w:val="anslagstabell"/>
    <w:basedOn w:val="Normal"/>
    <w:link w:val="anslagstabellChar"/>
    <w:rsid w:val="005B291F"/>
    <w:pPr>
      <w:keepNext/>
      <w:spacing w:before="60"/>
    </w:pPr>
    <w:rPr>
      <w:rFonts w:ascii="Arial" w:hAnsi="Arial"/>
      <w:sz w:val="18"/>
    </w:rPr>
  </w:style>
  <w:style w:type="paragraph" w:customStyle="1" w:styleId="Politikomrde">
    <w:name w:val="Politikområde"/>
    <w:basedOn w:val="Anslagsnamn"/>
    <w:rsid w:val="001405FD"/>
    <w:pPr>
      <w:pBdr>
        <w:bottom w:val="none" w:sz="0" w:space="0" w:color="auto"/>
      </w:pBdr>
      <w:spacing w:before="560" w:after="0"/>
      <w:ind w:right="0"/>
    </w:pPr>
    <w:rPr>
      <w:rFonts w:ascii="Times New Roman" w:hAnsi="Times New Roman"/>
      <w:i/>
      <w:sz w:val="36"/>
    </w:rPr>
  </w:style>
  <w:style w:type="paragraph" w:customStyle="1" w:styleId="Anslagsnamn">
    <w:name w:val="Anslagsnamn"/>
    <w:basedOn w:val="Normal"/>
    <w:next w:val="avsnittsrubrik"/>
    <w:rsid w:val="001405FD"/>
    <w:pPr>
      <w:keepNext/>
      <w:pBdr>
        <w:bottom w:val="double" w:sz="6" w:space="1" w:color="auto"/>
      </w:pBdr>
      <w:tabs>
        <w:tab w:val="left" w:pos="1134"/>
      </w:tabs>
      <w:spacing w:before="480" w:after="120"/>
      <w:ind w:left="1134" w:right="-1418" w:hanging="1134"/>
    </w:pPr>
    <w:rPr>
      <w:rFonts w:ascii="Arial" w:hAnsi="Arial"/>
      <w:b/>
      <w:sz w:val="28"/>
    </w:rPr>
  </w:style>
  <w:style w:type="paragraph" w:customStyle="1" w:styleId="avsnittsrubrik">
    <w:name w:val="avsnittsrubrik"/>
    <w:next w:val="Normal"/>
    <w:rsid w:val="00D0272F"/>
    <w:pPr>
      <w:keepNext/>
      <w:keepLines/>
      <w:tabs>
        <w:tab w:val="left" w:pos="1418"/>
      </w:tabs>
      <w:spacing w:before="360" w:after="80"/>
    </w:pPr>
    <w:rPr>
      <w:rFonts w:ascii="Arial" w:hAnsi="Arial"/>
      <w:b/>
      <w:noProof/>
      <w:sz w:val="22"/>
    </w:rPr>
  </w:style>
  <w:style w:type="paragraph" w:styleId="Fotnotstext">
    <w:name w:val="footnote text"/>
    <w:basedOn w:val="Normal"/>
    <w:next w:val="Normal"/>
    <w:rsid w:val="001405FD"/>
    <w:pPr>
      <w:keepLines/>
      <w:tabs>
        <w:tab w:val="left" w:pos="227"/>
      </w:tabs>
      <w:spacing w:before="80"/>
      <w:ind w:left="227" w:hanging="227"/>
    </w:pPr>
    <w:rPr>
      <w:sz w:val="20"/>
    </w:rPr>
  </w:style>
  <w:style w:type="paragraph" w:customStyle="1" w:styleId="tabellnot">
    <w:name w:val="tabellnot"/>
    <w:link w:val="tabellnotChar"/>
    <w:rsid w:val="001405FD"/>
    <w:pPr>
      <w:tabs>
        <w:tab w:val="left" w:pos="170"/>
      </w:tabs>
      <w:spacing w:before="80"/>
      <w:ind w:left="170" w:hanging="170"/>
    </w:pPr>
    <w:rPr>
      <w:rFonts w:ascii="Arial" w:hAnsi="Arial"/>
      <w:noProof/>
      <w:sz w:val="16"/>
    </w:rPr>
  </w:style>
  <w:style w:type="paragraph" w:customStyle="1" w:styleId="Utgiftsomrde">
    <w:name w:val="Utgiftsområde"/>
    <w:basedOn w:val="Normal"/>
    <w:rsid w:val="00F93953"/>
    <w:pPr>
      <w:keepNext/>
      <w:keepLines/>
      <w:widowControl w:val="0"/>
      <w:spacing w:before="500"/>
      <w:outlineLvl w:val="0"/>
    </w:pPr>
    <w:rPr>
      <w:b/>
      <w:i/>
      <w:sz w:val="28"/>
    </w:rPr>
  </w:style>
  <w:style w:type="paragraph" w:styleId="Figurfrteckning">
    <w:name w:val="table of figures"/>
    <w:basedOn w:val="Normal"/>
    <w:next w:val="Normal"/>
    <w:semiHidden/>
    <w:rsid w:val="001405FD"/>
    <w:pPr>
      <w:ind w:left="480" w:hanging="480"/>
    </w:pPr>
  </w:style>
  <w:style w:type="paragraph" w:styleId="Index1">
    <w:name w:val="index 1"/>
    <w:basedOn w:val="Normal"/>
    <w:next w:val="Normal"/>
    <w:autoRedefine/>
    <w:semiHidden/>
    <w:rsid w:val="001405F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405F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405F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405F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405F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405F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405F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405F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405F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1405FD"/>
    <w:rPr>
      <w:rFonts w:ascii="Arial" w:hAnsi="Arial"/>
      <w:b/>
    </w:rPr>
  </w:style>
  <w:style w:type="paragraph" w:styleId="Innehll4">
    <w:name w:val="toc 4"/>
    <w:basedOn w:val="Innehll1"/>
    <w:next w:val="Normal"/>
    <w:autoRedefine/>
    <w:rsid w:val="001405FD"/>
    <w:pPr>
      <w:tabs>
        <w:tab w:val="left" w:pos="964"/>
        <w:tab w:val="right" w:leader="dot" w:pos="7230"/>
      </w:tabs>
    </w:pPr>
  </w:style>
  <w:style w:type="paragraph" w:styleId="Innehll5">
    <w:name w:val="toc 5"/>
    <w:basedOn w:val="Normal"/>
    <w:next w:val="Normal"/>
    <w:autoRedefine/>
    <w:semiHidden/>
    <w:rsid w:val="001405FD"/>
    <w:pPr>
      <w:ind w:left="960"/>
    </w:pPr>
  </w:style>
  <w:style w:type="paragraph" w:styleId="Innehll6">
    <w:name w:val="toc 6"/>
    <w:basedOn w:val="Normal"/>
    <w:next w:val="Normal"/>
    <w:autoRedefine/>
    <w:semiHidden/>
    <w:rsid w:val="001405FD"/>
    <w:pPr>
      <w:ind w:left="1200"/>
    </w:pPr>
  </w:style>
  <w:style w:type="paragraph" w:styleId="Innehll7">
    <w:name w:val="toc 7"/>
    <w:basedOn w:val="Normal"/>
    <w:next w:val="Normal"/>
    <w:autoRedefine/>
    <w:semiHidden/>
    <w:rsid w:val="001405FD"/>
    <w:pPr>
      <w:ind w:left="1440"/>
    </w:pPr>
  </w:style>
  <w:style w:type="paragraph" w:styleId="Innehll8">
    <w:name w:val="toc 8"/>
    <w:basedOn w:val="Normal"/>
    <w:next w:val="Normal"/>
    <w:autoRedefine/>
    <w:semiHidden/>
    <w:rsid w:val="001405FD"/>
    <w:pPr>
      <w:ind w:left="1680"/>
    </w:pPr>
  </w:style>
  <w:style w:type="paragraph" w:styleId="Innehll9">
    <w:name w:val="toc 9"/>
    <w:basedOn w:val="Normal"/>
    <w:next w:val="Normal"/>
    <w:autoRedefine/>
    <w:semiHidden/>
    <w:rsid w:val="001405FD"/>
    <w:pPr>
      <w:ind w:left="1920"/>
    </w:pPr>
  </w:style>
  <w:style w:type="paragraph" w:styleId="Kommentarer">
    <w:name w:val="annotation text"/>
    <w:basedOn w:val="Normal"/>
    <w:semiHidden/>
    <w:rsid w:val="001405FD"/>
    <w:rPr>
      <w:sz w:val="20"/>
    </w:rPr>
  </w:style>
  <w:style w:type="paragraph" w:styleId="Slutkommentar">
    <w:name w:val="endnote text"/>
    <w:basedOn w:val="Normal"/>
    <w:semiHidden/>
    <w:rsid w:val="001405FD"/>
    <w:rPr>
      <w:sz w:val="20"/>
    </w:rPr>
  </w:style>
  <w:style w:type="paragraph" w:customStyle="1" w:styleId="anslagspostrubrik">
    <w:name w:val="anslagspostrubrik"/>
    <w:basedOn w:val="Normal"/>
    <w:next w:val="Normal"/>
    <w:rsid w:val="00856ECA"/>
    <w:pPr>
      <w:keepNext/>
      <w:tabs>
        <w:tab w:val="left" w:pos="1418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uppressAutoHyphens/>
      <w:spacing w:before="320" w:after="160"/>
      <w:ind w:left="1418" w:hanging="1418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1405FD"/>
    <w:rPr>
      <w:rFonts w:ascii="Tahoma" w:hAnsi="Tahoma" w:cs="Tahoma"/>
      <w:sz w:val="16"/>
      <w:szCs w:val="16"/>
    </w:rPr>
  </w:style>
  <w:style w:type="paragraph" w:customStyle="1" w:styleId="Bilagerubrikmm">
    <w:name w:val="Bilagerubrik m m"/>
    <w:basedOn w:val="Politikomrde"/>
    <w:rsid w:val="001405FD"/>
    <w:pPr>
      <w:spacing w:after="400"/>
      <w:ind w:left="0" w:firstLine="0"/>
    </w:pPr>
  </w:style>
  <w:style w:type="paragraph" w:customStyle="1" w:styleId="anslagstabell-hgerstlld">
    <w:name w:val="anslagstabell - högerställd"/>
    <w:basedOn w:val="anslagstabell"/>
    <w:link w:val="anslagstabell-hgerstlldChar"/>
    <w:rsid w:val="008958A0"/>
    <w:pPr>
      <w:jc w:val="right"/>
    </w:pPr>
    <w:rPr>
      <w:szCs w:val="18"/>
    </w:rPr>
  </w:style>
  <w:style w:type="paragraph" w:customStyle="1" w:styleId="anslagstabelll-huvudfet">
    <w:name w:val="anslagstabelll - huvud fet"/>
    <w:basedOn w:val="anslagstabell-huvud"/>
    <w:link w:val="anslagstabelll-huvudfetChar"/>
    <w:rsid w:val="006646A8"/>
    <w:pPr>
      <w:keepNext w:val="0"/>
    </w:pPr>
    <w:rPr>
      <w:b/>
      <w:sz w:val="18"/>
    </w:rPr>
  </w:style>
  <w:style w:type="paragraph" w:customStyle="1" w:styleId="anslagstabell-huvud">
    <w:name w:val="anslagstabell - huvud"/>
    <w:basedOn w:val="anslagstabell"/>
    <w:rsid w:val="005B291F"/>
    <w:pPr>
      <w:keepLines/>
    </w:pPr>
    <w:rPr>
      <w:sz w:val="16"/>
    </w:rPr>
  </w:style>
  <w:style w:type="table" w:styleId="Tabellrutnt">
    <w:name w:val="Table Grid"/>
    <w:basedOn w:val="Normaltabell"/>
    <w:rsid w:val="003E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lagstabellChar">
    <w:name w:val="anslagstabell Char"/>
    <w:link w:val="anslagstabell"/>
    <w:rsid w:val="007753FF"/>
    <w:rPr>
      <w:rFonts w:ascii="Arial" w:hAnsi="Arial"/>
      <w:sz w:val="18"/>
      <w:lang w:val="sv-SE" w:eastAsia="sv-SE" w:bidi="ar-SA"/>
    </w:rPr>
  </w:style>
  <w:style w:type="character" w:customStyle="1" w:styleId="versikt-fet">
    <w:name w:val="Översikt-fet"/>
    <w:rsid w:val="006646A8"/>
    <w:rPr>
      <w:rFonts w:ascii="Arial" w:hAnsi="Arial"/>
      <w:b/>
      <w:sz w:val="20"/>
    </w:rPr>
  </w:style>
  <w:style w:type="paragraph" w:customStyle="1" w:styleId="anslagstabellhngande1">
    <w:name w:val="anslagstabell hängande 1"/>
    <w:aliases w:val="3"/>
    <w:basedOn w:val="anslagstabell"/>
    <w:rsid w:val="009E0AA4"/>
    <w:pPr>
      <w:ind w:left="737" w:hanging="737"/>
    </w:pPr>
  </w:style>
  <w:style w:type="character" w:customStyle="1" w:styleId="tabellnotChar">
    <w:name w:val="tabellnot Char"/>
    <w:link w:val="tabellnot"/>
    <w:rsid w:val="00EF0FD8"/>
    <w:rPr>
      <w:rFonts w:ascii="Arial" w:hAnsi="Arial"/>
      <w:noProof/>
      <w:sz w:val="16"/>
      <w:lang w:val="sv-SE" w:eastAsia="sv-SE" w:bidi="ar-SA"/>
    </w:rPr>
  </w:style>
  <w:style w:type="character" w:customStyle="1" w:styleId="Rubrik3Char">
    <w:name w:val="Rubrik 3 Char"/>
    <w:link w:val="Rubrik3"/>
    <w:rsid w:val="00E25003"/>
    <w:rPr>
      <w:b/>
      <w:sz w:val="24"/>
      <w:lang w:val="sv-SE" w:eastAsia="sv-SE" w:bidi="ar-SA"/>
    </w:rPr>
  </w:style>
  <w:style w:type="character" w:customStyle="1" w:styleId="Rubrik4Char1">
    <w:name w:val="Rubrik 4 Char1"/>
    <w:link w:val="Rubrik4"/>
    <w:rsid w:val="00E25003"/>
    <w:rPr>
      <w:i/>
      <w:sz w:val="24"/>
      <w:lang w:val="sv-SE" w:eastAsia="sv-SE" w:bidi="ar-SA"/>
    </w:rPr>
  </w:style>
  <w:style w:type="character" w:customStyle="1" w:styleId="tabellrubrikChar1">
    <w:name w:val="tabellrubrik Char1"/>
    <w:link w:val="tabellrubrik"/>
    <w:rsid w:val="00E25003"/>
    <w:rPr>
      <w:b/>
      <w:sz w:val="22"/>
      <w:lang w:val="sv-SE" w:eastAsia="sv-SE" w:bidi="ar-SA"/>
    </w:rPr>
  </w:style>
  <w:style w:type="paragraph" w:customStyle="1" w:styleId="Bildplats">
    <w:name w:val="Bildplats"/>
    <w:basedOn w:val="Normal"/>
    <w:rsid w:val="00E25003"/>
    <w:pPr>
      <w:spacing w:after="120"/>
      <w:ind w:left="-113"/>
    </w:pPr>
    <w:rPr>
      <w:sz w:val="22"/>
    </w:rPr>
  </w:style>
  <w:style w:type="table" w:styleId="Enkeltabell1">
    <w:name w:val="Table Simple 1"/>
    <w:basedOn w:val="Normaltabell"/>
    <w:rsid w:val="005A22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BU-tabell-grund">
    <w:name w:val="BU-tabell-grund"/>
    <w:basedOn w:val="tabell"/>
    <w:link w:val="BU-tabell-grundChar"/>
    <w:rsid w:val="005A22A3"/>
    <w:pPr>
      <w:spacing w:before="20" w:after="20"/>
    </w:pPr>
    <w:rPr>
      <w:iCs/>
      <w:sz w:val="18"/>
      <w:szCs w:val="18"/>
    </w:rPr>
  </w:style>
  <w:style w:type="character" w:customStyle="1" w:styleId="BU-tabell-grundChar">
    <w:name w:val="BU-tabell-grund Char"/>
    <w:link w:val="BU-tabell-grund"/>
    <w:rsid w:val="005A22A3"/>
    <w:rPr>
      <w:rFonts w:ascii="Arial" w:hAnsi="Arial"/>
      <w:iCs/>
      <w:sz w:val="18"/>
      <w:szCs w:val="18"/>
      <w:lang w:val="sv-SE" w:eastAsia="sv-SE" w:bidi="ar-SA"/>
    </w:rPr>
  </w:style>
  <w:style w:type="paragraph" w:styleId="Brdtext">
    <w:name w:val="Body Text"/>
    <w:basedOn w:val="Normal"/>
    <w:rsid w:val="005A22A3"/>
    <w:pPr>
      <w:tabs>
        <w:tab w:val="left" w:pos="0"/>
        <w:tab w:val="left" w:pos="397"/>
        <w:tab w:val="left" w:pos="68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</w:pPr>
    <w:rPr>
      <w:color w:val="FF0000"/>
    </w:rPr>
  </w:style>
  <w:style w:type="paragraph" w:customStyle="1" w:styleId="Default">
    <w:name w:val="Default"/>
    <w:rsid w:val="005A22A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rsid w:val="005A22A3"/>
    <w:rPr>
      <w:color w:val="0000FF"/>
      <w:u w:val="single"/>
    </w:rPr>
  </w:style>
  <w:style w:type="character" w:customStyle="1" w:styleId="41002637">
    <w:name w:val="41002637"/>
    <w:semiHidden/>
    <w:rsid w:val="005A22A3"/>
    <w:rPr>
      <w:rFonts w:ascii="Arial" w:hAnsi="Arial" w:cs="Arial"/>
      <w:color w:val="auto"/>
      <w:sz w:val="20"/>
      <w:szCs w:val="20"/>
    </w:rPr>
  </w:style>
  <w:style w:type="character" w:customStyle="1" w:styleId="anslagstabelll-huvudfetChar">
    <w:name w:val="anslagstabelll - huvud fet Char"/>
    <w:link w:val="anslagstabelll-huvudfet"/>
    <w:rsid w:val="00474CD9"/>
    <w:rPr>
      <w:rFonts w:ascii="Arial" w:hAnsi="Arial"/>
      <w:b/>
      <w:sz w:val="18"/>
      <w:lang w:val="sv-SE" w:eastAsia="sv-SE" w:bidi="ar-SA"/>
    </w:rPr>
  </w:style>
  <w:style w:type="character" w:customStyle="1" w:styleId="Rubrik4Char">
    <w:name w:val="Rubrik 4 Char"/>
    <w:rsid w:val="005B0D65"/>
    <w:rPr>
      <w:i/>
      <w:sz w:val="24"/>
      <w:lang w:val="sv-SE" w:eastAsia="sv-SE" w:bidi="ar-SA"/>
    </w:rPr>
  </w:style>
  <w:style w:type="character" w:styleId="Betoning">
    <w:name w:val="Emphasis"/>
    <w:qFormat/>
    <w:rsid w:val="00424896"/>
    <w:rPr>
      <w:i/>
      <w:iCs/>
    </w:rPr>
  </w:style>
  <w:style w:type="character" w:styleId="AnvndHyperlnk">
    <w:name w:val="FollowedHyperlink"/>
    <w:rsid w:val="00370D93"/>
    <w:rPr>
      <w:color w:val="800000"/>
      <w:u w:val="single"/>
    </w:rPr>
  </w:style>
  <w:style w:type="character" w:customStyle="1" w:styleId="anslagstabell-hgerstlldChar">
    <w:name w:val="anslagstabell - högerställd Char"/>
    <w:link w:val="anslagstabell-hgerstlld"/>
    <w:rsid w:val="00970288"/>
    <w:rPr>
      <w:rFonts w:ascii="Arial" w:hAnsi="Arial"/>
      <w:sz w:val="18"/>
      <w:szCs w:val="18"/>
      <w:lang w:val="sv-SE" w:eastAsia="sv-SE" w:bidi="ar-SA"/>
    </w:rPr>
  </w:style>
  <w:style w:type="paragraph" w:styleId="Adress-brev">
    <w:name w:val="envelope address"/>
    <w:basedOn w:val="Normal"/>
    <w:rsid w:val="00894B4B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Anteckningsrubrik">
    <w:name w:val="Note Heading"/>
    <w:basedOn w:val="Normal"/>
    <w:next w:val="Normal"/>
    <w:rsid w:val="00894B4B"/>
  </w:style>
  <w:style w:type="paragraph" w:styleId="Avslutandetext">
    <w:name w:val="Closing"/>
    <w:basedOn w:val="Normal"/>
    <w:rsid w:val="00894B4B"/>
    <w:pPr>
      <w:ind w:left="4252"/>
    </w:pPr>
  </w:style>
  <w:style w:type="paragraph" w:styleId="Avsndaradress-brev">
    <w:name w:val="envelope return"/>
    <w:basedOn w:val="Normal"/>
    <w:rsid w:val="00894B4B"/>
    <w:rPr>
      <w:rFonts w:ascii="Arial" w:hAnsi="Arial" w:cs="Arial"/>
      <w:sz w:val="20"/>
    </w:rPr>
  </w:style>
  <w:style w:type="paragraph" w:styleId="Brdtext2">
    <w:name w:val="Body Text 2"/>
    <w:basedOn w:val="Normal"/>
    <w:rsid w:val="00894B4B"/>
    <w:pPr>
      <w:spacing w:after="120" w:line="480" w:lineRule="auto"/>
    </w:pPr>
  </w:style>
  <w:style w:type="paragraph" w:styleId="Brdtext3">
    <w:name w:val="Body Text 3"/>
    <w:basedOn w:val="Normal"/>
    <w:rsid w:val="00894B4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94B4B"/>
    <w:pPr>
      <w:tabs>
        <w:tab w:val="clear" w:pos="0"/>
        <w:tab w:val="clear" w:pos="397"/>
        <w:tab w:val="clear" w:pos="68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</w:tabs>
      <w:spacing w:after="120"/>
      <w:ind w:firstLine="210"/>
    </w:pPr>
    <w:rPr>
      <w:color w:val="auto"/>
    </w:rPr>
  </w:style>
  <w:style w:type="paragraph" w:styleId="Brdtextmedindrag">
    <w:name w:val="Body Text Indent"/>
    <w:basedOn w:val="Normal"/>
    <w:rsid w:val="00894B4B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94B4B"/>
    <w:pPr>
      <w:ind w:firstLine="210"/>
    </w:pPr>
  </w:style>
  <w:style w:type="paragraph" w:styleId="Brdtextmedindrag2">
    <w:name w:val="Body Text Indent 2"/>
    <w:basedOn w:val="Normal"/>
    <w:rsid w:val="00894B4B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94B4B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94B4B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894B4B"/>
    <w:pPr>
      <w:spacing w:before="120"/>
    </w:pPr>
    <w:rPr>
      <w:rFonts w:ascii="Arial" w:hAnsi="Arial" w:cs="Arial"/>
      <w:b/>
      <w:bCs/>
      <w:szCs w:val="24"/>
    </w:rPr>
  </w:style>
  <w:style w:type="paragraph" w:styleId="Datum">
    <w:name w:val="Date"/>
    <w:basedOn w:val="Normal"/>
    <w:next w:val="Normal"/>
    <w:rsid w:val="00894B4B"/>
  </w:style>
  <w:style w:type="paragraph" w:styleId="Dokumentversikt">
    <w:name w:val="Document Map"/>
    <w:basedOn w:val="Normal"/>
    <w:semiHidden/>
    <w:rsid w:val="00894B4B"/>
    <w:pPr>
      <w:shd w:val="clear" w:color="auto" w:fill="000080"/>
    </w:pPr>
    <w:rPr>
      <w:rFonts w:ascii="Tahoma" w:hAnsi="Tahoma" w:cs="Tahoma"/>
      <w:sz w:val="20"/>
    </w:rPr>
  </w:style>
  <w:style w:type="paragraph" w:styleId="E-postsignatur">
    <w:name w:val="E-mail Signature"/>
    <w:basedOn w:val="Normal"/>
    <w:rsid w:val="00894B4B"/>
  </w:style>
  <w:style w:type="paragraph" w:styleId="HTML-adress">
    <w:name w:val="HTML Address"/>
    <w:basedOn w:val="Normal"/>
    <w:rsid w:val="00894B4B"/>
    <w:rPr>
      <w:i/>
      <w:iCs/>
    </w:rPr>
  </w:style>
  <w:style w:type="paragraph" w:styleId="HTML-frformaterad">
    <w:name w:val="HTML Preformatted"/>
    <w:basedOn w:val="Normal"/>
    <w:rsid w:val="00894B4B"/>
    <w:rPr>
      <w:rFonts w:ascii="Courier New" w:hAnsi="Courier New" w:cs="Courier New"/>
      <w:sz w:val="20"/>
    </w:rPr>
  </w:style>
  <w:style w:type="paragraph" w:styleId="Indragetstycke">
    <w:name w:val="Block Text"/>
    <w:basedOn w:val="Normal"/>
    <w:rsid w:val="00894B4B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94B4B"/>
  </w:style>
  <w:style w:type="paragraph" w:styleId="Kommentarsmne">
    <w:name w:val="annotation subject"/>
    <w:basedOn w:val="Kommentarer"/>
    <w:next w:val="Kommentarer"/>
    <w:semiHidden/>
    <w:rsid w:val="00894B4B"/>
    <w:rPr>
      <w:b/>
      <w:bCs/>
    </w:rPr>
  </w:style>
  <w:style w:type="paragraph" w:styleId="Lista">
    <w:name w:val="List"/>
    <w:basedOn w:val="Normal"/>
    <w:rsid w:val="00894B4B"/>
    <w:pPr>
      <w:ind w:left="283" w:hanging="283"/>
    </w:pPr>
  </w:style>
  <w:style w:type="paragraph" w:styleId="Lista2">
    <w:name w:val="List 2"/>
    <w:basedOn w:val="Normal"/>
    <w:rsid w:val="00894B4B"/>
    <w:pPr>
      <w:ind w:left="566" w:hanging="283"/>
    </w:pPr>
  </w:style>
  <w:style w:type="paragraph" w:styleId="Lista3">
    <w:name w:val="List 3"/>
    <w:basedOn w:val="Normal"/>
    <w:rsid w:val="00894B4B"/>
    <w:pPr>
      <w:ind w:left="849" w:hanging="283"/>
    </w:pPr>
  </w:style>
  <w:style w:type="paragraph" w:styleId="Lista4">
    <w:name w:val="List 4"/>
    <w:basedOn w:val="Normal"/>
    <w:rsid w:val="00894B4B"/>
    <w:pPr>
      <w:ind w:left="1132" w:hanging="283"/>
    </w:pPr>
  </w:style>
  <w:style w:type="paragraph" w:styleId="Lista5">
    <w:name w:val="List 5"/>
    <w:basedOn w:val="Normal"/>
    <w:rsid w:val="00894B4B"/>
    <w:pPr>
      <w:ind w:left="1415" w:hanging="283"/>
    </w:pPr>
  </w:style>
  <w:style w:type="paragraph" w:styleId="Listafortstt">
    <w:name w:val="List Continue"/>
    <w:basedOn w:val="Normal"/>
    <w:rsid w:val="00894B4B"/>
    <w:pPr>
      <w:spacing w:after="120"/>
      <w:ind w:left="283"/>
    </w:pPr>
  </w:style>
  <w:style w:type="paragraph" w:styleId="Listafortstt2">
    <w:name w:val="List Continue 2"/>
    <w:basedOn w:val="Normal"/>
    <w:rsid w:val="00894B4B"/>
    <w:pPr>
      <w:spacing w:after="120"/>
      <w:ind w:left="566"/>
    </w:pPr>
  </w:style>
  <w:style w:type="paragraph" w:styleId="Listafortstt3">
    <w:name w:val="List Continue 3"/>
    <w:basedOn w:val="Normal"/>
    <w:rsid w:val="00894B4B"/>
    <w:pPr>
      <w:spacing w:after="120"/>
      <w:ind w:left="849"/>
    </w:pPr>
  </w:style>
  <w:style w:type="paragraph" w:styleId="Listafortstt4">
    <w:name w:val="List Continue 4"/>
    <w:basedOn w:val="Normal"/>
    <w:rsid w:val="00894B4B"/>
    <w:pPr>
      <w:spacing w:after="120"/>
      <w:ind w:left="1132"/>
    </w:pPr>
  </w:style>
  <w:style w:type="paragraph" w:styleId="Listafortstt5">
    <w:name w:val="List Continue 5"/>
    <w:basedOn w:val="Normal"/>
    <w:rsid w:val="00894B4B"/>
    <w:pPr>
      <w:spacing w:after="120"/>
      <w:ind w:left="1415"/>
    </w:pPr>
  </w:style>
  <w:style w:type="paragraph" w:styleId="Makrotext">
    <w:name w:val="macro"/>
    <w:semiHidden/>
    <w:rsid w:val="00894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94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b">
    <w:name w:val="Normal (Web)"/>
    <w:basedOn w:val="Normal"/>
    <w:rsid w:val="00894B4B"/>
    <w:rPr>
      <w:szCs w:val="24"/>
    </w:rPr>
  </w:style>
  <w:style w:type="paragraph" w:styleId="Normaltindrag">
    <w:name w:val="Normal Indent"/>
    <w:basedOn w:val="Normal"/>
    <w:rsid w:val="00894B4B"/>
    <w:pPr>
      <w:ind w:left="1304"/>
    </w:pPr>
  </w:style>
  <w:style w:type="paragraph" w:styleId="Numreradlista">
    <w:name w:val="List Number"/>
    <w:basedOn w:val="Normal"/>
    <w:rsid w:val="00894B4B"/>
    <w:pPr>
      <w:numPr>
        <w:numId w:val="1"/>
      </w:numPr>
    </w:pPr>
  </w:style>
  <w:style w:type="paragraph" w:styleId="Numreradlista2">
    <w:name w:val="List Number 2"/>
    <w:basedOn w:val="Normal"/>
    <w:rsid w:val="00894B4B"/>
    <w:pPr>
      <w:numPr>
        <w:numId w:val="2"/>
      </w:numPr>
    </w:pPr>
  </w:style>
  <w:style w:type="paragraph" w:styleId="Numreradlista3">
    <w:name w:val="List Number 3"/>
    <w:basedOn w:val="Normal"/>
    <w:rsid w:val="00894B4B"/>
    <w:pPr>
      <w:numPr>
        <w:numId w:val="3"/>
      </w:numPr>
    </w:pPr>
  </w:style>
  <w:style w:type="paragraph" w:styleId="Numreradlista4">
    <w:name w:val="List Number 4"/>
    <w:basedOn w:val="Normal"/>
    <w:rsid w:val="00894B4B"/>
    <w:pPr>
      <w:numPr>
        <w:numId w:val="4"/>
      </w:numPr>
    </w:pPr>
  </w:style>
  <w:style w:type="paragraph" w:styleId="Numreradlista5">
    <w:name w:val="List Number 5"/>
    <w:basedOn w:val="Normal"/>
    <w:rsid w:val="00894B4B"/>
    <w:pPr>
      <w:numPr>
        <w:numId w:val="5"/>
      </w:numPr>
    </w:pPr>
  </w:style>
  <w:style w:type="paragraph" w:styleId="Oformateradtext">
    <w:name w:val="Plain Text"/>
    <w:basedOn w:val="Normal"/>
    <w:rsid w:val="00894B4B"/>
    <w:rPr>
      <w:rFonts w:ascii="Courier New" w:hAnsi="Courier New" w:cs="Courier New"/>
      <w:sz w:val="20"/>
    </w:rPr>
  </w:style>
  <w:style w:type="paragraph" w:styleId="Punktlista">
    <w:name w:val="List Bullet"/>
    <w:basedOn w:val="Normal"/>
    <w:rsid w:val="00894B4B"/>
    <w:pPr>
      <w:numPr>
        <w:numId w:val="6"/>
      </w:numPr>
    </w:pPr>
  </w:style>
  <w:style w:type="paragraph" w:styleId="Punktlista2">
    <w:name w:val="List Bullet 2"/>
    <w:basedOn w:val="Normal"/>
    <w:rsid w:val="00894B4B"/>
    <w:pPr>
      <w:numPr>
        <w:numId w:val="7"/>
      </w:numPr>
    </w:pPr>
  </w:style>
  <w:style w:type="paragraph" w:styleId="Punktlista3">
    <w:name w:val="List Bullet 3"/>
    <w:basedOn w:val="Normal"/>
    <w:rsid w:val="00894B4B"/>
    <w:pPr>
      <w:numPr>
        <w:numId w:val="8"/>
      </w:numPr>
    </w:pPr>
  </w:style>
  <w:style w:type="paragraph" w:styleId="Punktlista4">
    <w:name w:val="List Bullet 4"/>
    <w:basedOn w:val="Normal"/>
    <w:rsid w:val="00894B4B"/>
    <w:pPr>
      <w:numPr>
        <w:numId w:val="9"/>
      </w:numPr>
    </w:pPr>
  </w:style>
  <w:style w:type="paragraph" w:styleId="Punktlista5">
    <w:name w:val="List Bullet 5"/>
    <w:basedOn w:val="Normal"/>
    <w:rsid w:val="00894B4B"/>
    <w:pPr>
      <w:numPr>
        <w:numId w:val="10"/>
      </w:numPr>
    </w:pPr>
  </w:style>
  <w:style w:type="paragraph" w:styleId="Rubrik">
    <w:name w:val="Title"/>
    <w:basedOn w:val="Normal"/>
    <w:qFormat/>
    <w:rsid w:val="00894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94B4B"/>
    <w:pPr>
      <w:ind w:left="4252"/>
    </w:pPr>
  </w:style>
  <w:style w:type="paragraph" w:styleId="Underrubrik">
    <w:name w:val="Subtitle"/>
    <w:basedOn w:val="Normal"/>
    <w:qFormat/>
    <w:rsid w:val="00894B4B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zDatum">
    <w:name w:val="zDatum"/>
    <w:basedOn w:val="Normal"/>
    <w:rsid w:val="00841615"/>
    <w:pPr>
      <w:spacing w:before="220"/>
    </w:pPr>
    <w:rPr>
      <w:rFonts w:ascii="Verdana" w:hAnsi="Verdana"/>
      <w:sz w:val="18"/>
      <w:szCs w:val="18"/>
    </w:rPr>
  </w:style>
  <w:style w:type="paragraph" w:customStyle="1" w:styleId="zStatus">
    <w:name w:val="zStatus"/>
    <w:basedOn w:val="Normal"/>
    <w:next w:val="Normal"/>
    <w:rsid w:val="00841615"/>
    <w:pPr>
      <w:spacing w:before="460" w:line="500" w:lineRule="exact"/>
    </w:pPr>
    <w:rPr>
      <w:rFonts w:ascii="Verdana" w:hAnsi="Verdana"/>
      <w:caps/>
      <w:sz w:val="36"/>
      <w:szCs w:val="36"/>
    </w:rPr>
  </w:style>
  <w:style w:type="paragraph" w:customStyle="1" w:styleId="zTypAvDokument">
    <w:name w:val="zTypAvDokument"/>
    <w:basedOn w:val="Normal"/>
    <w:rsid w:val="00841615"/>
    <w:pPr>
      <w:spacing w:before="180"/>
    </w:pPr>
    <w:rPr>
      <w:rFonts w:ascii="Verdana" w:hAnsi="Verdana"/>
      <w:sz w:val="22"/>
      <w:szCs w:val="22"/>
    </w:rPr>
  </w:style>
  <w:style w:type="paragraph" w:customStyle="1" w:styleId="zDnr">
    <w:name w:val="zDnr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okbet">
    <w:name w:val="zDokbet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Version">
    <w:name w:val="zVersion"/>
    <w:basedOn w:val="Normal"/>
    <w:rsid w:val="00841615"/>
    <w:pPr>
      <w:jc w:val="right"/>
    </w:pPr>
    <w:rPr>
      <w:rFonts w:ascii="Verdana" w:hAnsi="Verdana"/>
      <w:sz w:val="18"/>
      <w:szCs w:val="18"/>
    </w:rPr>
  </w:style>
  <w:style w:type="paragraph" w:customStyle="1" w:styleId="zDnrLedtext">
    <w:name w:val="zDnr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VersionLedtext">
    <w:name w:val="zVersionLedtext"/>
    <w:basedOn w:val="Normal"/>
    <w:rsid w:val="00841615"/>
    <w:pPr>
      <w:spacing w:before="40"/>
      <w:ind w:right="-68"/>
    </w:pPr>
    <w:rPr>
      <w:rFonts w:ascii="Verdana" w:hAnsi="Verdana"/>
      <w:sz w:val="14"/>
      <w:szCs w:val="14"/>
    </w:rPr>
  </w:style>
  <w:style w:type="paragraph" w:customStyle="1" w:styleId="zDokbetLedtext">
    <w:name w:val="zDokbet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BrevhuvudLedtext">
    <w:name w:val="zBrevhuvudLedtext"/>
    <w:basedOn w:val="Normal"/>
    <w:rsid w:val="00841615"/>
    <w:pPr>
      <w:spacing w:before="40"/>
      <w:ind w:right="-68"/>
    </w:pPr>
    <w:rPr>
      <w:rFonts w:ascii="Verdana" w:hAnsi="Verdana"/>
      <w:noProof/>
      <w:sz w:val="14"/>
      <w:szCs w:val="14"/>
    </w:rPr>
  </w:style>
  <w:style w:type="paragraph" w:customStyle="1" w:styleId="zSidhuvud">
    <w:name w:val="zSidhuvud"/>
    <w:basedOn w:val="Normal"/>
    <w:rsid w:val="00D940DA"/>
    <w:pPr>
      <w:jc w:val="right"/>
    </w:pPr>
    <w:rPr>
      <w:rFonts w:ascii="Verdana" w:hAnsi="Verdana"/>
      <w:sz w:val="18"/>
      <w:szCs w:val="18"/>
    </w:rPr>
  </w:style>
  <w:style w:type="paragraph" w:customStyle="1" w:styleId="Titel2">
    <w:name w:val="Titel 2"/>
    <w:basedOn w:val="Normal"/>
    <w:rsid w:val="004307AF"/>
    <w:pPr>
      <w:spacing w:before="280" w:after="200" w:line="280" w:lineRule="atLeast"/>
    </w:pPr>
    <w:rPr>
      <w:rFonts w:ascii="Verdana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K\FU\AVDGEM\Prognoser\1.4.1%20Utgiftsprognoser\Anslagsuppf&#246;ljning\mall%20oktober%202009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CD4C-B911-45A0-8595-33A7F11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oktober 2009.dot</Template>
  <TotalTime>992</TotalTime>
  <Pages>5</Pages>
  <Words>1519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Försäkringskassan, Utvärderingsavdelningen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Granbom</dc:creator>
  <cp:lastModifiedBy>Johan Söderberg</cp:lastModifiedBy>
  <cp:revision>93</cp:revision>
  <cp:lastPrinted>2014-02-06T10:04:00Z</cp:lastPrinted>
  <dcterms:created xsi:type="dcterms:W3CDTF">2013-02-12T07:15:00Z</dcterms:created>
  <dcterms:modified xsi:type="dcterms:W3CDTF">2016-02-16T11:38:00Z</dcterms:modified>
</cp:coreProperties>
</file>