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56" w:type="dxa"/>
        <w:tblInd w:w="-1107" w:type="dxa"/>
        <w:tblLayout w:type="fixed"/>
        <w:tblCellMar>
          <w:left w:w="68" w:type="dxa"/>
          <w:right w:w="68" w:type="dxa"/>
        </w:tblCellMar>
        <w:tblLook w:val="01E0" w:firstRow="1" w:lastRow="1" w:firstColumn="1" w:lastColumn="1" w:noHBand="0" w:noVBand="0"/>
      </w:tblPr>
      <w:tblGrid>
        <w:gridCol w:w="2892"/>
        <w:gridCol w:w="1972"/>
        <w:gridCol w:w="2939"/>
        <w:gridCol w:w="670"/>
        <w:gridCol w:w="1683"/>
      </w:tblGrid>
      <w:tr w:rsidR="00841615" w14:paraId="3B97AD49" w14:textId="77777777" w:rsidTr="17021632">
        <w:trPr>
          <w:trHeight w:val="222"/>
        </w:trPr>
        <w:tc>
          <w:tcPr>
            <w:tcW w:w="2892" w:type="dxa"/>
            <w:vMerge w:val="restart"/>
            <w:shd w:val="clear" w:color="auto" w:fill="auto"/>
          </w:tcPr>
          <w:p w14:paraId="25C0B6C1" w14:textId="77777777" w:rsidR="00841615" w:rsidRPr="00313366" w:rsidRDefault="00BD072A" w:rsidP="00212046">
            <w:pPr>
              <w:rPr>
                <w:rFonts w:ascii="Verdana" w:hAnsi="Verdana"/>
                <w:sz w:val="18"/>
                <w:szCs w:val="18"/>
              </w:rPr>
            </w:pPr>
            <w:bookmarkStart w:id="0" w:name="zhLogo"/>
            <w:bookmarkStart w:id="1" w:name="zDokInfogaDoktypPos" w:colFirst="2" w:colLast="2"/>
            <w:r>
              <w:rPr>
                <w:rFonts w:ascii="Verdana" w:hAnsi="Verdana"/>
                <w:noProof/>
                <w:sz w:val="18"/>
                <w:szCs w:val="18"/>
              </w:rPr>
              <w:drawing>
                <wp:inline distT="0" distB="0" distL="0" distR="0" wp14:anchorId="31879E84" wp14:editId="3AD8F416">
                  <wp:extent cx="1593850" cy="742950"/>
                  <wp:effectExtent l="0" t="0" r="0" b="0"/>
                  <wp:docPr id="1" name="Bild 1" descr="logo_grey_pos_44mm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grey_pos_44mm600dp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93850" cy="742950"/>
                          </a:xfrm>
                          <a:prstGeom prst="rect">
                            <a:avLst/>
                          </a:prstGeom>
                          <a:noFill/>
                          <a:ln>
                            <a:noFill/>
                          </a:ln>
                        </pic:spPr>
                      </pic:pic>
                    </a:graphicData>
                  </a:graphic>
                </wp:inline>
              </w:drawing>
            </w:r>
            <w:bookmarkEnd w:id="0"/>
          </w:p>
        </w:tc>
        <w:tc>
          <w:tcPr>
            <w:tcW w:w="1972" w:type="dxa"/>
            <w:vMerge w:val="restart"/>
            <w:shd w:val="clear" w:color="auto" w:fill="auto"/>
          </w:tcPr>
          <w:p w14:paraId="6D2FDF61" w14:textId="77777777" w:rsidR="00841615" w:rsidRDefault="00841615" w:rsidP="00212046">
            <w:pPr>
              <w:pStyle w:val="zStatus"/>
            </w:pPr>
          </w:p>
        </w:tc>
        <w:tc>
          <w:tcPr>
            <w:tcW w:w="2939" w:type="dxa"/>
            <w:vMerge w:val="restart"/>
            <w:shd w:val="clear" w:color="auto" w:fill="auto"/>
          </w:tcPr>
          <w:p w14:paraId="60998133" w14:textId="77777777" w:rsidR="00841615" w:rsidRDefault="17021632" w:rsidP="00212046">
            <w:pPr>
              <w:pStyle w:val="zTypAvDokument"/>
            </w:pPr>
            <w:r>
              <w:t>Bilaga 4</w:t>
            </w:r>
          </w:p>
        </w:tc>
        <w:tc>
          <w:tcPr>
            <w:tcW w:w="670" w:type="dxa"/>
            <w:shd w:val="clear" w:color="auto" w:fill="auto"/>
          </w:tcPr>
          <w:p w14:paraId="7BFE7031" w14:textId="77777777" w:rsidR="00841615" w:rsidRDefault="00841615" w:rsidP="00212046">
            <w:pPr>
              <w:pStyle w:val="zBrevhuvudLedtext"/>
            </w:pPr>
          </w:p>
        </w:tc>
        <w:tc>
          <w:tcPr>
            <w:tcW w:w="1683" w:type="dxa"/>
            <w:shd w:val="clear" w:color="auto" w:fill="auto"/>
          </w:tcPr>
          <w:p w14:paraId="6B2312DE" w14:textId="77777777" w:rsidR="00841615" w:rsidRDefault="00841615" w:rsidP="00212046"/>
        </w:tc>
      </w:tr>
      <w:bookmarkEnd w:id="1"/>
      <w:tr w:rsidR="00841615" w14:paraId="690F5951" w14:textId="77777777" w:rsidTr="17021632">
        <w:trPr>
          <w:trHeight w:hRule="exact" w:val="222"/>
        </w:trPr>
        <w:tc>
          <w:tcPr>
            <w:tcW w:w="2892" w:type="dxa"/>
            <w:vMerge/>
            <w:shd w:val="clear" w:color="auto" w:fill="auto"/>
          </w:tcPr>
          <w:p w14:paraId="44DF8CE1" w14:textId="77777777" w:rsidR="00841615" w:rsidRDefault="00841615" w:rsidP="00212046"/>
        </w:tc>
        <w:tc>
          <w:tcPr>
            <w:tcW w:w="1972" w:type="dxa"/>
            <w:vMerge/>
            <w:shd w:val="clear" w:color="auto" w:fill="auto"/>
          </w:tcPr>
          <w:p w14:paraId="4F2C78E4" w14:textId="77777777" w:rsidR="00841615" w:rsidRDefault="00841615" w:rsidP="00212046"/>
        </w:tc>
        <w:tc>
          <w:tcPr>
            <w:tcW w:w="2939" w:type="dxa"/>
            <w:vMerge/>
            <w:shd w:val="clear" w:color="auto" w:fill="auto"/>
          </w:tcPr>
          <w:p w14:paraId="7826A4E8" w14:textId="77777777" w:rsidR="00841615" w:rsidRDefault="00841615" w:rsidP="00212046"/>
        </w:tc>
        <w:tc>
          <w:tcPr>
            <w:tcW w:w="670" w:type="dxa"/>
            <w:shd w:val="clear" w:color="auto" w:fill="auto"/>
          </w:tcPr>
          <w:p w14:paraId="7D914F90" w14:textId="77777777" w:rsidR="00841615" w:rsidRDefault="00841615" w:rsidP="00212046">
            <w:pPr>
              <w:pStyle w:val="zDokbetLedtext"/>
            </w:pPr>
          </w:p>
        </w:tc>
        <w:tc>
          <w:tcPr>
            <w:tcW w:w="1683" w:type="dxa"/>
            <w:shd w:val="clear" w:color="auto" w:fill="auto"/>
          </w:tcPr>
          <w:p w14:paraId="4AA64E1C" w14:textId="77777777" w:rsidR="00841615" w:rsidRDefault="00841615" w:rsidP="00212046">
            <w:pPr>
              <w:pStyle w:val="zDokbet"/>
            </w:pPr>
          </w:p>
        </w:tc>
      </w:tr>
      <w:tr w:rsidR="00841615" w14:paraId="781DF89E" w14:textId="77777777" w:rsidTr="17021632">
        <w:trPr>
          <w:trHeight w:hRule="exact" w:val="222"/>
        </w:trPr>
        <w:tc>
          <w:tcPr>
            <w:tcW w:w="2892" w:type="dxa"/>
            <w:vMerge/>
            <w:shd w:val="clear" w:color="auto" w:fill="auto"/>
          </w:tcPr>
          <w:p w14:paraId="0CE26DC4" w14:textId="77777777" w:rsidR="00841615" w:rsidRDefault="00841615" w:rsidP="00212046">
            <w:bookmarkStart w:id="2" w:name="zVersion" w:colFirst="4" w:colLast="4"/>
          </w:p>
        </w:tc>
        <w:tc>
          <w:tcPr>
            <w:tcW w:w="1972" w:type="dxa"/>
            <w:vMerge/>
            <w:shd w:val="clear" w:color="auto" w:fill="auto"/>
          </w:tcPr>
          <w:p w14:paraId="6599BCE9" w14:textId="77777777" w:rsidR="00841615" w:rsidRDefault="00841615" w:rsidP="00212046"/>
        </w:tc>
        <w:tc>
          <w:tcPr>
            <w:tcW w:w="2939" w:type="dxa"/>
            <w:vMerge w:val="restart"/>
            <w:shd w:val="clear" w:color="auto" w:fill="auto"/>
          </w:tcPr>
          <w:p w14:paraId="55F12623" w14:textId="072298FB" w:rsidR="00841615" w:rsidRPr="009A14C9" w:rsidRDefault="17021632" w:rsidP="00A833C3">
            <w:pPr>
              <w:pStyle w:val="zDatum"/>
            </w:pPr>
            <w:bookmarkStart w:id="3" w:name="zz_Datum"/>
            <w:r>
              <w:t>2020-02-</w:t>
            </w:r>
            <w:bookmarkEnd w:id="3"/>
            <w:r w:rsidR="00A833C3">
              <w:t>21</w:t>
            </w:r>
            <w:bookmarkStart w:id="4" w:name="_GoBack"/>
            <w:bookmarkEnd w:id="4"/>
          </w:p>
        </w:tc>
        <w:tc>
          <w:tcPr>
            <w:tcW w:w="670" w:type="dxa"/>
            <w:shd w:val="clear" w:color="auto" w:fill="auto"/>
          </w:tcPr>
          <w:p w14:paraId="1F50F159" w14:textId="77777777" w:rsidR="00841615" w:rsidRDefault="00841615" w:rsidP="00212046">
            <w:pPr>
              <w:pStyle w:val="zVersionLedtext"/>
            </w:pPr>
          </w:p>
        </w:tc>
        <w:tc>
          <w:tcPr>
            <w:tcW w:w="1683" w:type="dxa"/>
            <w:shd w:val="clear" w:color="auto" w:fill="auto"/>
          </w:tcPr>
          <w:p w14:paraId="7F4794A2" w14:textId="77777777" w:rsidR="00841615" w:rsidRDefault="00841615" w:rsidP="00212046">
            <w:pPr>
              <w:pStyle w:val="zVersion"/>
            </w:pPr>
          </w:p>
        </w:tc>
      </w:tr>
      <w:bookmarkEnd w:id="2"/>
      <w:tr w:rsidR="00841615" w14:paraId="3F19F0E4" w14:textId="77777777" w:rsidTr="17021632">
        <w:trPr>
          <w:trHeight w:hRule="exact" w:val="222"/>
        </w:trPr>
        <w:tc>
          <w:tcPr>
            <w:tcW w:w="2892" w:type="dxa"/>
            <w:vMerge/>
            <w:shd w:val="clear" w:color="auto" w:fill="auto"/>
          </w:tcPr>
          <w:p w14:paraId="30D7C9A6" w14:textId="77777777" w:rsidR="00841615" w:rsidRDefault="00841615" w:rsidP="00212046"/>
        </w:tc>
        <w:tc>
          <w:tcPr>
            <w:tcW w:w="1972" w:type="dxa"/>
            <w:vMerge/>
            <w:shd w:val="clear" w:color="auto" w:fill="auto"/>
          </w:tcPr>
          <w:p w14:paraId="615FAFB5" w14:textId="77777777" w:rsidR="00841615" w:rsidRDefault="00841615" w:rsidP="00212046"/>
        </w:tc>
        <w:tc>
          <w:tcPr>
            <w:tcW w:w="2939" w:type="dxa"/>
            <w:vMerge/>
            <w:shd w:val="clear" w:color="auto" w:fill="auto"/>
          </w:tcPr>
          <w:p w14:paraId="2EE49AC1" w14:textId="77777777" w:rsidR="00841615" w:rsidRDefault="00841615" w:rsidP="00212046"/>
        </w:tc>
        <w:tc>
          <w:tcPr>
            <w:tcW w:w="670" w:type="dxa"/>
            <w:shd w:val="clear" w:color="auto" w:fill="auto"/>
          </w:tcPr>
          <w:p w14:paraId="1311BC73" w14:textId="77777777" w:rsidR="00841615" w:rsidRDefault="00841615" w:rsidP="00212046">
            <w:pPr>
              <w:pStyle w:val="zDnrLedtext"/>
            </w:pPr>
            <w:r>
              <w:t>Dnr/ref.</w:t>
            </w:r>
          </w:p>
        </w:tc>
        <w:tc>
          <w:tcPr>
            <w:tcW w:w="1683" w:type="dxa"/>
            <w:shd w:val="clear" w:color="auto" w:fill="auto"/>
          </w:tcPr>
          <w:p w14:paraId="2A77558E" w14:textId="206AC492" w:rsidR="00841615" w:rsidRDefault="17021632" w:rsidP="00740F5E">
            <w:pPr>
              <w:pStyle w:val="zDnr"/>
            </w:pPr>
            <w:r w:rsidRPr="17021632">
              <w:rPr>
                <w:rFonts w:ascii="Courier New" w:hAnsi="Courier New" w:cs="Courier New"/>
                <w:sz w:val="20"/>
                <w:szCs w:val="20"/>
                <w:lang w:eastAsia="en-US"/>
              </w:rPr>
              <w:t>VER 2020-</w:t>
            </w:r>
            <w:r w:rsidR="00740F5E">
              <w:rPr>
                <w:rFonts w:ascii="Courier New" w:hAnsi="Courier New" w:cs="Courier New"/>
                <w:sz w:val="20"/>
                <w:szCs w:val="20"/>
                <w:lang w:eastAsia="en-US"/>
              </w:rPr>
              <w:t>1</w:t>
            </w:r>
          </w:p>
        </w:tc>
      </w:tr>
      <w:tr w:rsidR="00841615" w14:paraId="7BAA2047" w14:textId="77777777" w:rsidTr="17021632">
        <w:trPr>
          <w:trHeight w:val="438"/>
        </w:trPr>
        <w:tc>
          <w:tcPr>
            <w:tcW w:w="2892" w:type="dxa"/>
            <w:vMerge/>
            <w:shd w:val="clear" w:color="auto" w:fill="auto"/>
          </w:tcPr>
          <w:p w14:paraId="613B3F88" w14:textId="77777777" w:rsidR="00841615" w:rsidRDefault="00841615" w:rsidP="00212046"/>
        </w:tc>
        <w:tc>
          <w:tcPr>
            <w:tcW w:w="7263" w:type="dxa"/>
            <w:gridSpan w:val="4"/>
            <w:shd w:val="clear" w:color="auto" w:fill="auto"/>
          </w:tcPr>
          <w:p w14:paraId="3901230B" w14:textId="77777777" w:rsidR="00841615" w:rsidRDefault="00841615" w:rsidP="00212046"/>
        </w:tc>
      </w:tr>
    </w:tbl>
    <w:p w14:paraId="48A54857" w14:textId="77777777" w:rsidR="00D457FD" w:rsidRPr="00F91D88" w:rsidRDefault="00D457FD" w:rsidP="00D457FD">
      <w:pPr>
        <w:keepNext/>
      </w:pPr>
    </w:p>
    <w:p w14:paraId="07D517E3" w14:textId="77777777" w:rsidR="00A00EF2" w:rsidRPr="00FD230A" w:rsidRDefault="17021632" w:rsidP="17021632">
      <w:pPr>
        <w:pStyle w:val="anslagspostrubrik"/>
        <w:rPr>
          <w:sz w:val="28"/>
          <w:szCs w:val="28"/>
        </w:rPr>
      </w:pPr>
      <w:r w:rsidRPr="17021632">
        <w:rPr>
          <w:sz w:val="28"/>
          <w:szCs w:val="28"/>
        </w:rPr>
        <w:t>Jämförelsetabeller</w:t>
      </w:r>
    </w:p>
    <w:p w14:paraId="1502109F" w14:textId="64CE442F" w:rsidR="005C58EB" w:rsidRPr="009F098F" w:rsidRDefault="17021632" w:rsidP="005C58EB">
      <w:bookmarkStart w:id="5" w:name="bkmAnslag"/>
      <w:bookmarkStart w:id="6" w:name="_Toc244589642"/>
      <w:bookmarkEnd w:id="5"/>
      <w:r>
        <w:t xml:space="preserve">I denna bilaga redovisas en jämförelse med de prognoser som lämnades till regeringen i oktober 2019. </w:t>
      </w:r>
    </w:p>
    <w:p w14:paraId="0B445D3C" w14:textId="77777777" w:rsidR="00A018DF" w:rsidRDefault="00A018DF" w:rsidP="005C58EB"/>
    <w:p w14:paraId="58B9867C" w14:textId="2D1DCE7F" w:rsidR="005C58EB" w:rsidRPr="0076289E" w:rsidRDefault="17021632" w:rsidP="005C58EB">
      <w:r>
        <w:t>Underlag från Konjunkturinstitutet har använts till prognoserna till budgetunderlaget. Andra förändringar redovisas under respektive anslag.</w:t>
      </w:r>
    </w:p>
    <w:p w14:paraId="60692C05" w14:textId="77777777" w:rsidR="005C58EB" w:rsidRDefault="005C58EB" w:rsidP="005C58EB"/>
    <w:p w14:paraId="3DCAA803" w14:textId="77777777" w:rsidR="005C58EB" w:rsidRPr="00976CD1" w:rsidRDefault="00B13956" w:rsidP="005C58EB">
      <w:pPr>
        <w:pStyle w:val="anslagspostrubrik"/>
      </w:pPr>
      <w:bookmarkStart w:id="7" w:name="_Toc221685245"/>
      <w:r>
        <w:t>11.</w:t>
      </w:r>
      <w:r w:rsidR="005C58EB">
        <w:t>1:1</w:t>
      </w:r>
      <w:r w:rsidR="005C58EB">
        <w:tab/>
        <w:t>Garantipension till ålderspension</w:t>
      </w:r>
      <w:bookmarkEnd w:id="7"/>
    </w:p>
    <w:p w14:paraId="229C6005" w14:textId="717F9AA3" w:rsidR="005C58EB" w:rsidRDefault="17021632" w:rsidP="005C58EB">
      <w:pPr>
        <w:keepNext/>
      </w:pPr>
      <w:r>
        <w:t>I tabellen nedan görs en jämförelse med föregående prognos som lämnades till regeringen i oktober 2019.</w:t>
      </w:r>
    </w:p>
    <w:p w14:paraId="641C6CFE" w14:textId="77777777" w:rsidR="005C58EB" w:rsidRDefault="005C58EB" w:rsidP="005C58EB">
      <w:pPr>
        <w:keepNext/>
      </w:pPr>
    </w:p>
    <w:p w14:paraId="318E298F" w14:textId="77777777" w:rsidR="005C58EB" w:rsidRPr="00A01D93" w:rsidRDefault="17021632" w:rsidP="005C58EB">
      <w:pPr>
        <w:keepNext/>
      </w:pPr>
      <w:r w:rsidRPr="17021632">
        <w:rPr>
          <w:rStyle w:val="versikt-fet"/>
        </w:rPr>
        <w:t>Prognosjämförelse.</w:t>
      </w:r>
      <w:r>
        <w:t xml:space="preserve"> Beloppen anges i 1000-tal kronor </w:t>
      </w:r>
    </w:p>
    <w:tbl>
      <w:tblPr>
        <w:tblW w:w="5411" w:type="pct"/>
        <w:tblCellMar>
          <w:left w:w="70" w:type="dxa"/>
          <w:right w:w="70" w:type="dxa"/>
        </w:tblCellMar>
        <w:tblLook w:val="0000" w:firstRow="0" w:lastRow="0" w:firstColumn="0" w:lastColumn="0" w:noHBand="0" w:noVBand="0"/>
      </w:tblPr>
      <w:tblGrid>
        <w:gridCol w:w="2343"/>
        <w:gridCol w:w="1127"/>
        <w:gridCol w:w="1126"/>
        <w:gridCol w:w="1126"/>
        <w:gridCol w:w="1126"/>
        <w:gridCol w:w="1128"/>
      </w:tblGrid>
      <w:tr w:rsidR="00D14B5D" w:rsidRPr="00B44852" w14:paraId="371E66AF" w14:textId="77777777" w:rsidTr="00757DE6">
        <w:trPr>
          <w:trHeight w:val="270"/>
        </w:trPr>
        <w:tc>
          <w:tcPr>
            <w:tcW w:w="1467" w:type="pct"/>
            <w:tcBorders>
              <w:top w:val="single" w:sz="4" w:space="0" w:color="auto"/>
              <w:bottom w:val="single" w:sz="4" w:space="0" w:color="auto"/>
            </w:tcBorders>
          </w:tcPr>
          <w:p w14:paraId="35DD3242" w14:textId="77777777" w:rsidR="00D14B5D" w:rsidRPr="00B44852" w:rsidRDefault="00D14B5D" w:rsidP="00D14B5D">
            <w:pPr>
              <w:pStyle w:val="anslagstabell"/>
              <w:jc w:val="center"/>
              <w:rPr>
                <w:b/>
              </w:rPr>
            </w:pPr>
          </w:p>
        </w:tc>
        <w:tc>
          <w:tcPr>
            <w:tcW w:w="706" w:type="pct"/>
            <w:tcBorders>
              <w:top w:val="single" w:sz="4" w:space="0" w:color="auto"/>
              <w:bottom w:val="single" w:sz="4" w:space="0" w:color="auto"/>
            </w:tcBorders>
          </w:tcPr>
          <w:p w14:paraId="01DDE99E" w14:textId="4587C655" w:rsidR="00D14B5D" w:rsidRPr="00B44852" w:rsidRDefault="17021632" w:rsidP="17021632">
            <w:pPr>
              <w:pStyle w:val="anslagstabell"/>
              <w:jc w:val="center"/>
              <w:rPr>
                <w:b/>
                <w:bCs/>
              </w:rPr>
            </w:pPr>
            <w:r w:rsidRPr="17021632">
              <w:rPr>
                <w:b/>
                <w:bCs/>
              </w:rPr>
              <w:t>2019</w:t>
            </w:r>
          </w:p>
        </w:tc>
        <w:tc>
          <w:tcPr>
            <w:tcW w:w="706" w:type="pct"/>
            <w:tcBorders>
              <w:top w:val="single" w:sz="4" w:space="0" w:color="auto"/>
              <w:bottom w:val="single" w:sz="4" w:space="0" w:color="auto"/>
            </w:tcBorders>
          </w:tcPr>
          <w:p w14:paraId="39580B7F" w14:textId="513AD917" w:rsidR="00D14B5D" w:rsidRDefault="17021632" w:rsidP="17021632">
            <w:pPr>
              <w:pStyle w:val="anslagstabell"/>
              <w:jc w:val="center"/>
              <w:rPr>
                <w:b/>
                <w:bCs/>
              </w:rPr>
            </w:pPr>
            <w:r w:rsidRPr="17021632">
              <w:rPr>
                <w:b/>
                <w:bCs/>
              </w:rPr>
              <w:t>2020</w:t>
            </w:r>
          </w:p>
        </w:tc>
        <w:tc>
          <w:tcPr>
            <w:tcW w:w="706" w:type="pct"/>
            <w:tcBorders>
              <w:top w:val="single" w:sz="4" w:space="0" w:color="auto"/>
              <w:bottom w:val="single" w:sz="4" w:space="0" w:color="auto"/>
            </w:tcBorders>
          </w:tcPr>
          <w:p w14:paraId="01BDCA5B" w14:textId="7B07B476" w:rsidR="00D14B5D" w:rsidRDefault="17021632" w:rsidP="17021632">
            <w:pPr>
              <w:pStyle w:val="anslagstabell"/>
              <w:jc w:val="center"/>
              <w:rPr>
                <w:b/>
                <w:bCs/>
              </w:rPr>
            </w:pPr>
            <w:r w:rsidRPr="17021632">
              <w:rPr>
                <w:b/>
                <w:bCs/>
              </w:rPr>
              <w:t>2021</w:t>
            </w:r>
          </w:p>
        </w:tc>
        <w:tc>
          <w:tcPr>
            <w:tcW w:w="706" w:type="pct"/>
            <w:tcBorders>
              <w:top w:val="single" w:sz="4" w:space="0" w:color="auto"/>
              <w:bottom w:val="single" w:sz="4" w:space="0" w:color="auto"/>
            </w:tcBorders>
          </w:tcPr>
          <w:p w14:paraId="6908A68D" w14:textId="19FF75C4" w:rsidR="00D14B5D" w:rsidRDefault="17021632" w:rsidP="17021632">
            <w:pPr>
              <w:pStyle w:val="anslagstabell"/>
              <w:jc w:val="center"/>
              <w:rPr>
                <w:b/>
                <w:bCs/>
              </w:rPr>
            </w:pPr>
            <w:r w:rsidRPr="17021632">
              <w:rPr>
                <w:b/>
                <w:bCs/>
              </w:rPr>
              <w:t>2022</w:t>
            </w:r>
          </w:p>
        </w:tc>
        <w:tc>
          <w:tcPr>
            <w:tcW w:w="707" w:type="pct"/>
            <w:tcBorders>
              <w:top w:val="single" w:sz="4" w:space="0" w:color="auto"/>
              <w:bottom w:val="single" w:sz="4" w:space="0" w:color="auto"/>
            </w:tcBorders>
          </w:tcPr>
          <w:p w14:paraId="0BEA507C" w14:textId="2C5134A4" w:rsidR="00D14B5D" w:rsidRDefault="17021632" w:rsidP="17021632">
            <w:pPr>
              <w:pStyle w:val="anslagstabell"/>
              <w:jc w:val="center"/>
              <w:rPr>
                <w:b/>
                <w:bCs/>
              </w:rPr>
            </w:pPr>
            <w:r w:rsidRPr="17021632">
              <w:rPr>
                <w:b/>
                <w:bCs/>
              </w:rPr>
              <w:t>2023</w:t>
            </w:r>
          </w:p>
        </w:tc>
      </w:tr>
      <w:tr w:rsidR="00EB617B" w:rsidRPr="00EB617B" w14:paraId="605174DD" w14:textId="77777777" w:rsidTr="00757DE6">
        <w:trPr>
          <w:trHeight w:val="471"/>
        </w:trPr>
        <w:tc>
          <w:tcPr>
            <w:tcW w:w="1467" w:type="pct"/>
            <w:tcBorders>
              <w:top w:val="single" w:sz="4" w:space="0" w:color="auto"/>
            </w:tcBorders>
          </w:tcPr>
          <w:p w14:paraId="245625E9" w14:textId="16F67F58" w:rsidR="00EB617B" w:rsidRPr="008244FA" w:rsidRDefault="17021632" w:rsidP="17021632">
            <w:pPr>
              <w:pStyle w:val="anslagstabell"/>
              <w:rPr>
                <w:b/>
                <w:bCs/>
              </w:rPr>
            </w:pPr>
            <w:r w:rsidRPr="17021632">
              <w:rPr>
                <w:b/>
                <w:bCs/>
              </w:rPr>
              <w:t>Föregående prognos</w:t>
            </w:r>
          </w:p>
        </w:tc>
        <w:tc>
          <w:tcPr>
            <w:tcW w:w="706" w:type="pct"/>
            <w:tcBorders>
              <w:top w:val="single" w:sz="4" w:space="0" w:color="auto"/>
            </w:tcBorders>
          </w:tcPr>
          <w:p w14:paraId="17F9296C" w14:textId="0C8C6B46" w:rsidR="00EB617B" w:rsidRPr="001D0290" w:rsidRDefault="17021632" w:rsidP="17021632">
            <w:pPr>
              <w:pStyle w:val="anslagstabell-hgerstlld"/>
              <w:rPr>
                <w:b/>
                <w:bCs/>
              </w:rPr>
            </w:pPr>
            <w:r w:rsidRPr="17021632">
              <w:rPr>
                <w:b/>
                <w:bCs/>
              </w:rPr>
              <w:t>13 170 200</w:t>
            </w:r>
          </w:p>
        </w:tc>
        <w:tc>
          <w:tcPr>
            <w:tcW w:w="706" w:type="pct"/>
            <w:tcBorders>
              <w:top w:val="single" w:sz="4" w:space="0" w:color="auto"/>
            </w:tcBorders>
          </w:tcPr>
          <w:p w14:paraId="4CB6DC8A" w14:textId="4095EAF3" w:rsidR="00EB617B" w:rsidRPr="001D0290" w:rsidRDefault="17021632" w:rsidP="17021632">
            <w:pPr>
              <w:pStyle w:val="anslagstabell-hgerstlld"/>
              <w:rPr>
                <w:b/>
                <w:bCs/>
              </w:rPr>
            </w:pPr>
            <w:r w:rsidRPr="17021632">
              <w:rPr>
                <w:b/>
                <w:bCs/>
              </w:rPr>
              <w:t>14 868 800</w:t>
            </w:r>
          </w:p>
        </w:tc>
        <w:tc>
          <w:tcPr>
            <w:tcW w:w="706" w:type="pct"/>
            <w:tcBorders>
              <w:top w:val="single" w:sz="4" w:space="0" w:color="auto"/>
            </w:tcBorders>
          </w:tcPr>
          <w:p w14:paraId="1E377ED7" w14:textId="45E7912D" w:rsidR="00EB617B" w:rsidRPr="001D0290" w:rsidRDefault="17021632" w:rsidP="17021632">
            <w:pPr>
              <w:pStyle w:val="anslagstabell-hgerstlld"/>
              <w:rPr>
                <w:b/>
                <w:bCs/>
              </w:rPr>
            </w:pPr>
            <w:r w:rsidRPr="17021632">
              <w:rPr>
                <w:b/>
                <w:bCs/>
              </w:rPr>
              <w:t>14 331 300</w:t>
            </w:r>
          </w:p>
        </w:tc>
        <w:tc>
          <w:tcPr>
            <w:tcW w:w="706" w:type="pct"/>
            <w:tcBorders>
              <w:top w:val="single" w:sz="4" w:space="0" w:color="auto"/>
            </w:tcBorders>
          </w:tcPr>
          <w:p w14:paraId="5209B660" w14:textId="6232AD83" w:rsidR="00EB617B" w:rsidRPr="001D0290" w:rsidRDefault="17021632" w:rsidP="17021632">
            <w:pPr>
              <w:pStyle w:val="anslagstabell-hgerstlld"/>
              <w:rPr>
                <w:b/>
                <w:bCs/>
              </w:rPr>
            </w:pPr>
            <w:r w:rsidRPr="17021632">
              <w:rPr>
                <w:b/>
                <w:bCs/>
              </w:rPr>
              <w:t>14 416 900</w:t>
            </w:r>
          </w:p>
        </w:tc>
        <w:tc>
          <w:tcPr>
            <w:tcW w:w="707" w:type="pct"/>
            <w:tcBorders>
              <w:top w:val="single" w:sz="4" w:space="0" w:color="auto"/>
            </w:tcBorders>
          </w:tcPr>
          <w:p w14:paraId="59A66A86" w14:textId="6FB53D1D" w:rsidR="00EB617B" w:rsidRPr="001D0290" w:rsidRDefault="17021632" w:rsidP="17021632">
            <w:pPr>
              <w:pStyle w:val="anslagstabell-hgerstlld"/>
              <w:rPr>
                <w:b/>
                <w:bCs/>
              </w:rPr>
            </w:pPr>
            <w:r w:rsidRPr="17021632">
              <w:rPr>
                <w:b/>
                <w:bCs/>
              </w:rPr>
              <w:t>14 596 400</w:t>
            </w:r>
          </w:p>
        </w:tc>
      </w:tr>
      <w:tr w:rsidR="00EB617B" w:rsidRPr="00E81B3C" w14:paraId="7364A0EE" w14:textId="77777777" w:rsidTr="00757DE6">
        <w:trPr>
          <w:trHeight w:val="471"/>
        </w:trPr>
        <w:tc>
          <w:tcPr>
            <w:tcW w:w="1467" w:type="pct"/>
          </w:tcPr>
          <w:p w14:paraId="2FFD287D" w14:textId="3CDFC5D4" w:rsidR="00EB617B" w:rsidRPr="00B44852" w:rsidRDefault="17021632" w:rsidP="00EB617B">
            <w:pPr>
              <w:pStyle w:val="anslagstabell"/>
            </w:pPr>
            <w:r>
              <w:t>Överföring till/från andra anslag</w:t>
            </w:r>
          </w:p>
        </w:tc>
        <w:tc>
          <w:tcPr>
            <w:tcW w:w="706" w:type="pct"/>
          </w:tcPr>
          <w:p w14:paraId="1E0713F6" w14:textId="77777777" w:rsidR="00EB617B" w:rsidRPr="00E81B3C" w:rsidRDefault="00EB617B" w:rsidP="00EB617B">
            <w:pPr>
              <w:pStyle w:val="anslagstabell-hgerstlld"/>
              <w:rPr>
                <w:color w:val="FF0000"/>
              </w:rPr>
            </w:pPr>
          </w:p>
        </w:tc>
        <w:tc>
          <w:tcPr>
            <w:tcW w:w="706" w:type="pct"/>
          </w:tcPr>
          <w:p w14:paraId="109581F6" w14:textId="77777777" w:rsidR="00EB617B" w:rsidRPr="00E81B3C" w:rsidRDefault="00EB617B" w:rsidP="00EB617B">
            <w:pPr>
              <w:pStyle w:val="anslagstabell-hgerstlld"/>
              <w:rPr>
                <w:color w:val="FF0000"/>
              </w:rPr>
            </w:pPr>
          </w:p>
        </w:tc>
        <w:tc>
          <w:tcPr>
            <w:tcW w:w="706" w:type="pct"/>
          </w:tcPr>
          <w:p w14:paraId="52A779AE" w14:textId="77777777" w:rsidR="00EB617B" w:rsidRPr="00E81B3C" w:rsidRDefault="00EB617B" w:rsidP="00EB617B">
            <w:pPr>
              <w:pStyle w:val="anslagstabell-hgerstlld"/>
              <w:rPr>
                <w:color w:val="FF0000"/>
              </w:rPr>
            </w:pPr>
          </w:p>
        </w:tc>
        <w:tc>
          <w:tcPr>
            <w:tcW w:w="706" w:type="pct"/>
          </w:tcPr>
          <w:p w14:paraId="7DF3F4B4" w14:textId="77777777" w:rsidR="00EB617B" w:rsidRPr="00E81B3C" w:rsidRDefault="00EB617B" w:rsidP="00EB617B">
            <w:pPr>
              <w:pStyle w:val="anslagstabell-hgerstlld"/>
              <w:rPr>
                <w:color w:val="FF0000"/>
              </w:rPr>
            </w:pPr>
          </w:p>
        </w:tc>
        <w:tc>
          <w:tcPr>
            <w:tcW w:w="707" w:type="pct"/>
          </w:tcPr>
          <w:p w14:paraId="12FF9E32" w14:textId="2DCD6D1D" w:rsidR="00EB617B" w:rsidRPr="00E81B3C" w:rsidRDefault="00EB617B" w:rsidP="00EB617B">
            <w:pPr>
              <w:pStyle w:val="anslagstabell-hgerstlld"/>
              <w:rPr>
                <w:color w:val="FF0000"/>
              </w:rPr>
            </w:pPr>
          </w:p>
        </w:tc>
      </w:tr>
      <w:tr w:rsidR="00EB617B" w:rsidRPr="00E81B3C" w14:paraId="56941399" w14:textId="77777777" w:rsidTr="009D2D80">
        <w:trPr>
          <w:trHeight w:val="445"/>
        </w:trPr>
        <w:tc>
          <w:tcPr>
            <w:tcW w:w="1467" w:type="pct"/>
          </w:tcPr>
          <w:p w14:paraId="767EB036" w14:textId="7F885FBA" w:rsidR="00EB617B" w:rsidRPr="00B44852" w:rsidRDefault="17021632" w:rsidP="00EB617B">
            <w:pPr>
              <w:pStyle w:val="anslagstabell"/>
            </w:pPr>
            <w:r>
              <w:t>Ändrade makroekonomiska antaganden</w:t>
            </w:r>
          </w:p>
        </w:tc>
        <w:tc>
          <w:tcPr>
            <w:tcW w:w="706" w:type="pct"/>
          </w:tcPr>
          <w:p w14:paraId="753AFB3B" w14:textId="77777777" w:rsidR="00EB617B" w:rsidRPr="00E81B3C" w:rsidRDefault="00EB617B" w:rsidP="00EB617B">
            <w:pPr>
              <w:pStyle w:val="anslagstabell-hgerstlld"/>
              <w:rPr>
                <w:color w:val="FF0000"/>
              </w:rPr>
            </w:pPr>
          </w:p>
        </w:tc>
        <w:tc>
          <w:tcPr>
            <w:tcW w:w="706" w:type="pct"/>
          </w:tcPr>
          <w:p w14:paraId="72C4EAC3" w14:textId="77777777" w:rsidR="00EB617B" w:rsidRPr="00E81B3C" w:rsidRDefault="00EB617B" w:rsidP="00EB617B">
            <w:pPr>
              <w:pStyle w:val="anslagstabell-hgerstlld"/>
            </w:pPr>
          </w:p>
        </w:tc>
        <w:tc>
          <w:tcPr>
            <w:tcW w:w="706" w:type="pct"/>
          </w:tcPr>
          <w:p w14:paraId="076F1D13" w14:textId="547780E0" w:rsidR="00EB617B" w:rsidRPr="00E81B3C" w:rsidRDefault="17021632" w:rsidP="00CA1B18">
            <w:pPr>
              <w:pStyle w:val="anslagstabell-hgerstlld"/>
            </w:pPr>
            <w:r>
              <w:t>+60 000</w:t>
            </w:r>
          </w:p>
        </w:tc>
        <w:tc>
          <w:tcPr>
            <w:tcW w:w="706" w:type="pct"/>
          </w:tcPr>
          <w:p w14:paraId="4CBB1A79" w14:textId="7FDA8441" w:rsidR="00EB617B" w:rsidRPr="00E81B3C" w:rsidRDefault="17021632" w:rsidP="00CA1B18">
            <w:pPr>
              <w:pStyle w:val="anslagstabell-hgerstlld"/>
            </w:pPr>
            <w:r>
              <w:t>+59 100</w:t>
            </w:r>
          </w:p>
        </w:tc>
        <w:tc>
          <w:tcPr>
            <w:tcW w:w="707" w:type="pct"/>
          </w:tcPr>
          <w:p w14:paraId="40F3731E" w14:textId="3708C021" w:rsidR="00EB617B" w:rsidRPr="00E81B3C" w:rsidRDefault="17021632" w:rsidP="00CA1B18">
            <w:pPr>
              <w:pStyle w:val="anslagstabell-hgerstlld"/>
            </w:pPr>
            <w:r>
              <w:t>–17 000</w:t>
            </w:r>
          </w:p>
        </w:tc>
      </w:tr>
      <w:tr w:rsidR="00EB617B" w:rsidRPr="00E81B3C" w14:paraId="4D76AD5E" w14:textId="77777777" w:rsidTr="00757DE6">
        <w:trPr>
          <w:trHeight w:val="471"/>
        </w:trPr>
        <w:tc>
          <w:tcPr>
            <w:tcW w:w="1467" w:type="pct"/>
          </w:tcPr>
          <w:p w14:paraId="09C0BC49" w14:textId="0D8F75D7" w:rsidR="00EB617B" w:rsidRPr="00B44852" w:rsidRDefault="17021632" w:rsidP="00EB617B">
            <w:pPr>
              <w:pStyle w:val="anslagstabell"/>
            </w:pPr>
            <w:r>
              <w:t>Volym- och strukturförändringar</w:t>
            </w:r>
          </w:p>
        </w:tc>
        <w:tc>
          <w:tcPr>
            <w:tcW w:w="706" w:type="pct"/>
          </w:tcPr>
          <w:p w14:paraId="4203FEFB" w14:textId="6D777350" w:rsidR="00EB617B" w:rsidRPr="001701F3" w:rsidRDefault="17021632" w:rsidP="00266A4E">
            <w:pPr>
              <w:pStyle w:val="anslagstabell-hgerstlld"/>
            </w:pPr>
            <w:r>
              <w:t>+4 628</w:t>
            </w:r>
          </w:p>
        </w:tc>
        <w:tc>
          <w:tcPr>
            <w:tcW w:w="706" w:type="pct"/>
          </w:tcPr>
          <w:p w14:paraId="2E59C172" w14:textId="7FEA58F1" w:rsidR="00EB617B" w:rsidRPr="001701F3" w:rsidRDefault="17021632" w:rsidP="00A26C39">
            <w:pPr>
              <w:pStyle w:val="anslagstabell-hgerstlld"/>
            </w:pPr>
            <w:r>
              <w:t>–163 200</w:t>
            </w:r>
          </w:p>
        </w:tc>
        <w:tc>
          <w:tcPr>
            <w:tcW w:w="706" w:type="pct"/>
          </w:tcPr>
          <w:p w14:paraId="445EF939" w14:textId="001D9D0C" w:rsidR="00EB617B" w:rsidRPr="001701F3" w:rsidRDefault="17021632" w:rsidP="00CA1B18">
            <w:pPr>
              <w:pStyle w:val="anslagstabell-hgerstlld"/>
            </w:pPr>
            <w:r>
              <w:t>–97 100</w:t>
            </w:r>
          </w:p>
        </w:tc>
        <w:tc>
          <w:tcPr>
            <w:tcW w:w="706" w:type="pct"/>
          </w:tcPr>
          <w:p w14:paraId="0A8BCC23" w14:textId="2AB3C31B" w:rsidR="00EB617B" w:rsidRPr="001701F3" w:rsidRDefault="17021632" w:rsidP="00CA1B18">
            <w:pPr>
              <w:pStyle w:val="anslagstabell-hgerstlld"/>
            </w:pPr>
            <w:r>
              <w:t>–68 200</w:t>
            </w:r>
          </w:p>
        </w:tc>
        <w:tc>
          <w:tcPr>
            <w:tcW w:w="707" w:type="pct"/>
          </w:tcPr>
          <w:p w14:paraId="302318AF" w14:textId="361B0408" w:rsidR="00EB617B" w:rsidRPr="001701F3" w:rsidRDefault="17021632" w:rsidP="00CA1B18">
            <w:pPr>
              <w:pStyle w:val="anslagstabell-hgerstlld"/>
            </w:pPr>
            <w:r>
              <w:t>–41 100</w:t>
            </w:r>
          </w:p>
        </w:tc>
      </w:tr>
      <w:tr w:rsidR="00EB617B" w:rsidRPr="00E81B3C" w14:paraId="7C330523" w14:textId="77777777" w:rsidTr="00757DE6">
        <w:trPr>
          <w:trHeight w:val="270"/>
        </w:trPr>
        <w:tc>
          <w:tcPr>
            <w:tcW w:w="1467" w:type="pct"/>
          </w:tcPr>
          <w:p w14:paraId="5CE5C70A" w14:textId="53966240" w:rsidR="00EB617B" w:rsidRPr="00B44852" w:rsidRDefault="17021632" w:rsidP="00EB617B">
            <w:pPr>
              <w:pStyle w:val="anslagstabell"/>
            </w:pPr>
            <w:r>
              <w:t>Ny regeländring</w:t>
            </w:r>
          </w:p>
        </w:tc>
        <w:tc>
          <w:tcPr>
            <w:tcW w:w="706" w:type="pct"/>
          </w:tcPr>
          <w:p w14:paraId="7611A6F1" w14:textId="77777777" w:rsidR="00EB617B" w:rsidRPr="00E81B3C" w:rsidRDefault="00EB617B" w:rsidP="00EB617B">
            <w:pPr>
              <w:pStyle w:val="anslagstabell-hgerstlld"/>
              <w:rPr>
                <w:color w:val="FF0000"/>
              </w:rPr>
            </w:pPr>
          </w:p>
        </w:tc>
        <w:tc>
          <w:tcPr>
            <w:tcW w:w="706" w:type="pct"/>
          </w:tcPr>
          <w:p w14:paraId="1E3E635D" w14:textId="3F2ACFD4" w:rsidR="00EB617B" w:rsidRPr="00E81B3C" w:rsidRDefault="00EB617B" w:rsidP="00F57188">
            <w:pPr>
              <w:pStyle w:val="anslagstabell-hgerstlld"/>
              <w:rPr>
                <w:color w:val="FF0000"/>
              </w:rPr>
            </w:pPr>
          </w:p>
        </w:tc>
        <w:tc>
          <w:tcPr>
            <w:tcW w:w="706" w:type="pct"/>
          </w:tcPr>
          <w:p w14:paraId="5A76AB58" w14:textId="2CEF6751" w:rsidR="00EB617B" w:rsidRPr="00E81B3C" w:rsidRDefault="00EB617B" w:rsidP="00EB617B">
            <w:pPr>
              <w:pStyle w:val="anslagstabell-hgerstlld"/>
              <w:rPr>
                <w:color w:val="FF0000"/>
              </w:rPr>
            </w:pPr>
          </w:p>
        </w:tc>
        <w:tc>
          <w:tcPr>
            <w:tcW w:w="706" w:type="pct"/>
          </w:tcPr>
          <w:p w14:paraId="15983087" w14:textId="5F7A0EAC" w:rsidR="00EB617B" w:rsidRPr="00E81B3C" w:rsidRDefault="00EB617B" w:rsidP="00EB617B">
            <w:pPr>
              <w:pStyle w:val="anslagstabell-hgerstlld"/>
              <w:rPr>
                <w:color w:val="FF0000"/>
              </w:rPr>
            </w:pPr>
          </w:p>
        </w:tc>
        <w:tc>
          <w:tcPr>
            <w:tcW w:w="707" w:type="pct"/>
          </w:tcPr>
          <w:p w14:paraId="0A8A718E" w14:textId="7610E77B" w:rsidR="00EB617B" w:rsidRPr="00E81B3C" w:rsidRDefault="00EB617B" w:rsidP="00EB617B">
            <w:pPr>
              <w:pStyle w:val="anslagstabell-hgerstlld"/>
              <w:rPr>
                <w:color w:val="FF0000"/>
              </w:rPr>
            </w:pPr>
          </w:p>
        </w:tc>
      </w:tr>
      <w:tr w:rsidR="00EB617B" w:rsidRPr="00E81B3C" w14:paraId="3A9FB1A0" w14:textId="77777777" w:rsidTr="00757DE6">
        <w:trPr>
          <w:trHeight w:val="260"/>
        </w:trPr>
        <w:tc>
          <w:tcPr>
            <w:tcW w:w="1467" w:type="pct"/>
          </w:tcPr>
          <w:p w14:paraId="4C590487" w14:textId="69035E12" w:rsidR="00EB617B" w:rsidRPr="00B44852" w:rsidRDefault="17021632" w:rsidP="00EB617B">
            <w:pPr>
              <w:pStyle w:val="anslagstabell"/>
            </w:pPr>
            <w:r>
              <w:t>Övrigt</w:t>
            </w:r>
          </w:p>
        </w:tc>
        <w:tc>
          <w:tcPr>
            <w:tcW w:w="706" w:type="pct"/>
          </w:tcPr>
          <w:p w14:paraId="0E0F8FC7" w14:textId="77777777" w:rsidR="00EB617B" w:rsidRPr="00E81B3C" w:rsidRDefault="00EB617B" w:rsidP="00EB617B">
            <w:pPr>
              <w:pStyle w:val="anslagstabell-hgerstlld"/>
              <w:rPr>
                <w:color w:val="FF0000"/>
              </w:rPr>
            </w:pPr>
          </w:p>
        </w:tc>
        <w:tc>
          <w:tcPr>
            <w:tcW w:w="706" w:type="pct"/>
          </w:tcPr>
          <w:p w14:paraId="060B8BE1" w14:textId="77777777" w:rsidR="00EB617B" w:rsidRPr="00E81B3C" w:rsidRDefault="00EB617B" w:rsidP="00EB617B">
            <w:pPr>
              <w:pStyle w:val="anslagstabell-hgerstlld"/>
              <w:rPr>
                <w:color w:val="FF0000"/>
              </w:rPr>
            </w:pPr>
          </w:p>
        </w:tc>
        <w:tc>
          <w:tcPr>
            <w:tcW w:w="706" w:type="pct"/>
          </w:tcPr>
          <w:p w14:paraId="0401EE44" w14:textId="77777777" w:rsidR="00EB617B" w:rsidRPr="00E81B3C" w:rsidRDefault="00EB617B" w:rsidP="00EB617B">
            <w:pPr>
              <w:pStyle w:val="anslagstabell-hgerstlld"/>
              <w:rPr>
                <w:color w:val="FF0000"/>
              </w:rPr>
            </w:pPr>
          </w:p>
        </w:tc>
        <w:tc>
          <w:tcPr>
            <w:tcW w:w="706" w:type="pct"/>
          </w:tcPr>
          <w:p w14:paraId="591E4AAB" w14:textId="77777777" w:rsidR="00EB617B" w:rsidRPr="00E81B3C" w:rsidRDefault="00EB617B" w:rsidP="00EB617B">
            <w:pPr>
              <w:pStyle w:val="anslagstabell-hgerstlld"/>
              <w:rPr>
                <w:color w:val="FF0000"/>
              </w:rPr>
            </w:pPr>
          </w:p>
        </w:tc>
        <w:tc>
          <w:tcPr>
            <w:tcW w:w="707" w:type="pct"/>
          </w:tcPr>
          <w:p w14:paraId="7A236326" w14:textId="6B885A76" w:rsidR="00EB617B" w:rsidRPr="00E81B3C" w:rsidRDefault="00EB617B" w:rsidP="00EB617B">
            <w:pPr>
              <w:pStyle w:val="anslagstabell-hgerstlld"/>
              <w:rPr>
                <w:color w:val="FF0000"/>
              </w:rPr>
            </w:pPr>
          </w:p>
        </w:tc>
      </w:tr>
      <w:tr w:rsidR="00EB617B" w:rsidRPr="00E81B3C" w14:paraId="6F64D708" w14:textId="77777777" w:rsidTr="00757DE6">
        <w:trPr>
          <w:trHeight w:val="420"/>
        </w:trPr>
        <w:tc>
          <w:tcPr>
            <w:tcW w:w="1467" w:type="pct"/>
            <w:tcBorders>
              <w:bottom w:val="single" w:sz="4" w:space="0" w:color="auto"/>
            </w:tcBorders>
          </w:tcPr>
          <w:p w14:paraId="1B6E14AE" w14:textId="0B2A298A" w:rsidR="00EB617B" w:rsidRPr="008244FA" w:rsidRDefault="17021632" w:rsidP="17021632">
            <w:pPr>
              <w:pStyle w:val="anslagstabell"/>
              <w:rPr>
                <w:b/>
                <w:bCs/>
              </w:rPr>
            </w:pPr>
            <w:r w:rsidRPr="17021632">
              <w:rPr>
                <w:b/>
                <w:bCs/>
              </w:rPr>
              <w:t xml:space="preserve">Ny prognos </w:t>
            </w:r>
          </w:p>
        </w:tc>
        <w:tc>
          <w:tcPr>
            <w:tcW w:w="706" w:type="pct"/>
            <w:tcBorders>
              <w:bottom w:val="single" w:sz="4" w:space="0" w:color="auto"/>
            </w:tcBorders>
          </w:tcPr>
          <w:p w14:paraId="691C0A9C" w14:textId="424C75D7" w:rsidR="00EB617B" w:rsidRPr="00E81B3C" w:rsidRDefault="17021632" w:rsidP="17021632">
            <w:pPr>
              <w:jc w:val="right"/>
              <w:rPr>
                <w:rFonts w:ascii="Arial" w:hAnsi="Arial" w:cs="Arial"/>
                <w:b/>
                <w:bCs/>
                <w:sz w:val="18"/>
                <w:szCs w:val="18"/>
                <w:lang w:eastAsia="en-US"/>
              </w:rPr>
            </w:pPr>
            <w:r w:rsidRPr="17021632">
              <w:rPr>
                <w:rFonts w:ascii="Arial" w:hAnsi="Arial" w:cs="Arial"/>
                <w:b/>
                <w:bCs/>
                <w:sz w:val="18"/>
                <w:szCs w:val="18"/>
                <w:lang w:eastAsia="en-US"/>
              </w:rPr>
              <w:t>13 174 828</w:t>
            </w:r>
          </w:p>
        </w:tc>
        <w:tc>
          <w:tcPr>
            <w:tcW w:w="706" w:type="pct"/>
            <w:tcBorders>
              <w:bottom w:val="single" w:sz="4" w:space="0" w:color="auto"/>
            </w:tcBorders>
          </w:tcPr>
          <w:p w14:paraId="73CFF3BC" w14:textId="5AA1006F" w:rsidR="00EB617B" w:rsidRPr="00E81B3C" w:rsidRDefault="17021632" w:rsidP="17021632">
            <w:pPr>
              <w:jc w:val="right"/>
              <w:rPr>
                <w:rFonts w:ascii="Arial" w:hAnsi="Arial" w:cs="Arial"/>
                <w:b/>
                <w:bCs/>
                <w:sz w:val="18"/>
                <w:szCs w:val="18"/>
                <w:lang w:eastAsia="en-US"/>
              </w:rPr>
            </w:pPr>
            <w:r w:rsidRPr="17021632">
              <w:rPr>
                <w:rFonts w:ascii="Arial" w:hAnsi="Arial" w:cs="Arial"/>
                <w:b/>
                <w:bCs/>
                <w:sz w:val="18"/>
                <w:szCs w:val="18"/>
                <w:lang w:eastAsia="en-US"/>
              </w:rPr>
              <w:t>14 705 600</w:t>
            </w:r>
          </w:p>
        </w:tc>
        <w:tc>
          <w:tcPr>
            <w:tcW w:w="706" w:type="pct"/>
            <w:tcBorders>
              <w:bottom w:val="single" w:sz="4" w:space="0" w:color="auto"/>
            </w:tcBorders>
          </w:tcPr>
          <w:p w14:paraId="0BC6772D" w14:textId="4C4A5675" w:rsidR="00EB617B" w:rsidRPr="00E81B3C" w:rsidRDefault="17021632" w:rsidP="17021632">
            <w:pPr>
              <w:jc w:val="right"/>
              <w:rPr>
                <w:rFonts w:ascii="Arial" w:hAnsi="Arial" w:cs="Arial"/>
                <w:b/>
                <w:bCs/>
                <w:sz w:val="18"/>
                <w:szCs w:val="18"/>
                <w:lang w:eastAsia="en-US"/>
              </w:rPr>
            </w:pPr>
            <w:r w:rsidRPr="17021632">
              <w:rPr>
                <w:rFonts w:ascii="Arial" w:hAnsi="Arial" w:cs="Arial"/>
                <w:b/>
                <w:bCs/>
                <w:sz w:val="18"/>
                <w:szCs w:val="18"/>
                <w:lang w:eastAsia="en-US"/>
              </w:rPr>
              <w:t>14 294 200</w:t>
            </w:r>
          </w:p>
        </w:tc>
        <w:tc>
          <w:tcPr>
            <w:tcW w:w="706" w:type="pct"/>
            <w:tcBorders>
              <w:bottom w:val="single" w:sz="4" w:space="0" w:color="auto"/>
            </w:tcBorders>
          </w:tcPr>
          <w:p w14:paraId="57D6A0D5" w14:textId="36AD8DF2" w:rsidR="00EB617B" w:rsidRPr="00E81B3C" w:rsidRDefault="17021632" w:rsidP="17021632">
            <w:pPr>
              <w:jc w:val="right"/>
              <w:rPr>
                <w:rFonts w:ascii="Arial" w:hAnsi="Arial" w:cs="Arial"/>
                <w:b/>
                <w:bCs/>
                <w:sz w:val="18"/>
                <w:szCs w:val="18"/>
                <w:lang w:eastAsia="en-US"/>
              </w:rPr>
            </w:pPr>
            <w:r w:rsidRPr="17021632">
              <w:rPr>
                <w:rFonts w:ascii="Arial" w:hAnsi="Arial" w:cs="Arial"/>
                <w:b/>
                <w:bCs/>
                <w:sz w:val="18"/>
                <w:szCs w:val="18"/>
                <w:lang w:eastAsia="en-US"/>
              </w:rPr>
              <w:t>14 407 800</w:t>
            </w:r>
          </w:p>
        </w:tc>
        <w:tc>
          <w:tcPr>
            <w:tcW w:w="707" w:type="pct"/>
            <w:tcBorders>
              <w:bottom w:val="single" w:sz="4" w:space="0" w:color="auto"/>
            </w:tcBorders>
          </w:tcPr>
          <w:p w14:paraId="5FE50104" w14:textId="3C358BD0" w:rsidR="00EB617B" w:rsidRPr="00E81B3C" w:rsidRDefault="17021632" w:rsidP="17021632">
            <w:pPr>
              <w:jc w:val="right"/>
              <w:rPr>
                <w:rFonts w:ascii="Arial" w:hAnsi="Arial" w:cs="Arial"/>
                <w:b/>
                <w:bCs/>
                <w:sz w:val="18"/>
                <w:szCs w:val="18"/>
                <w:lang w:eastAsia="en-US"/>
              </w:rPr>
            </w:pPr>
            <w:r w:rsidRPr="17021632">
              <w:rPr>
                <w:rFonts w:ascii="Arial" w:hAnsi="Arial" w:cs="Arial"/>
                <w:b/>
                <w:bCs/>
                <w:sz w:val="18"/>
                <w:szCs w:val="18"/>
                <w:lang w:eastAsia="en-US"/>
              </w:rPr>
              <w:t>14 538 300</w:t>
            </w:r>
          </w:p>
        </w:tc>
      </w:tr>
      <w:tr w:rsidR="00EB617B" w:rsidRPr="008244FA" w14:paraId="257F33A4" w14:textId="77777777" w:rsidTr="00757DE6">
        <w:trPr>
          <w:trHeight w:val="260"/>
        </w:trPr>
        <w:tc>
          <w:tcPr>
            <w:tcW w:w="1467" w:type="pct"/>
            <w:tcBorders>
              <w:top w:val="single" w:sz="4" w:space="0" w:color="auto"/>
              <w:bottom w:val="single" w:sz="4" w:space="0" w:color="auto"/>
            </w:tcBorders>
          </w:tcPr>
          <w:p w14:paraId="0A9A5348" w14:textId="0B76CDCB" w:rsidR="00EB617B" w:rsidRPr="008244FA" w:rsidRDefault="00EB617B" w:rsidP="00EB617B">
            <w:pPr>
              <w:pStyle w:val="anslagstabell"/>
              <w:rPr>
                <w:b/>
              </w:rPr>
            </w:pPr>
          </w:p>
        </w:tc>
        <w:tc>
          <w:tcPr>
            <w:tcW w:w="706" w:type="pct"/>
            <w:tcBorders>
              <w:top w:val="single" w:sz="4" w:space="0" w:color="auto"/>
              <w:bottom w:val="single" w:sz="4" w:space="0" w:color="auto"/>
            </w:tcBorders>
          </w:tcPr>
          <w:p w14:paraId="5D79B0EB" w14:textId="77777777" w:rsidR="00EB617B" w:rsidRPr="0091385C" w:rsidRDefault="00EB617B" w:rsidP="00EB617B">
            <w:pPr>
              <w:pStyle w:val="anslagstabell"/>
              <w:jc w:val="right"/>
              <w:rPr>
                <w:b/>
              </w:rPr>
            </w:pPr>
          </w:p>
        </w:tc>
        <w:tc>
          <w:tcPr>
            <w:tcW w:w="706" w:type="pct"/>
            <w:tcBorders>
              <w:top w:val="single" w:sz="4" w:space="0" w:color="auto"/>
              <w:bottom w:val="single" w:sz="4" w:space="0" w:color="auto"/>
            </w:tcBorders>
          </w:tcPr>
          <w:p w14:paraId="20851751" w14:textId="77777777" w:rsidR="00EB617B" w:rsidRPr="0091385C" w:rsidRDefault="00EB617B" w:rsidP="00EB617B">
            <w:pPr>
              <w:pStyle w:val="anslagstabell"/>
              <w:jc w:val="right"/>
              <w:rPr>
                <w:b/>
              </w:rPr>
            </w:pPr>
          </w:p>
        </w:tc>
        <w:tc>
          <w:tcPr>
            <w:tcW w:w="706" w:type="pct"/>
            <w:tcBorders>
              <w:top w:val="single" w:sz="4" w:space="0" w:color="auto"/>
              <w:bottom w:val="single" w:sz="4" w:space="0" w:color="auto"/>
            </w:tcBorders>
          </w:tcPr>
          <w:p w14:paraId="2CDC4024" w14:textId="77777777" w:rsidR="00EB617B" w:rsidRPr="0091385C" w:rsidRDefault="00EB617B" w:rsidP="00EB617B">
            <w:pPr>
              <w:pStyle w:val="anslagstabell"/>
              <w:jc w:val="right"/>
              <w:rPr>
                <w:b/>
              </w:rPr>
            </w:pPr>
          </w:p>
        </w:tc>
        <w:tc>
          <w:tcPr>
            <w:tcW w:w="706" w:type="pct"/>
            <w:tcBorders>
              <w:top w:val="single" w:sz="4" w:space="0" w:color="auto"/>
              <w:bottom w:val="single" w:sz="4" w:space="0" w:color="auto"/>
            </w:tcBorders>
          </w:tcPr>
          <w:p w14:paraId="18956405" w14:textId="77777777" w:rsidR="00EB617B" w:rsidRPr="0091385C" w:rsidRDefault="00EB617B" w:rsidP="00EB617B">
            <w:pPr>
              <w:pStyle w:val="anslagstabell"/>
              <w:jc w:val="right"/>
              <w:rPr>
                <w:b/>
              </w:rPr>
            </w:pPr>
          </w:p>
        </w:tc>
        <w:tc>
          <w:tcPr>
            <w:tcW w:w="707" w:type="pct"/>
            <w:tcBorders>
              <w:top w:val="single" w:sz="4" w:space="0" w:color="auto"/>
              <w:bottom w:val="single" w:sz="4" w:space="0" w:color="auto"/>
            </w:tcBorders>
          </w:tcPr>
          <w:p w14:paraId="362ADD79" w14:textId="00605A5A" w:rsidR="00EB617B" w:rsidRPr="0091385C" w:rsidRDefault="00EB617B" w:rsidP="00EB617B">
            <w:pPr>
              <w:pStyle w:val="anslagstabell"/>
              <w:jc w:val="right"/>
              <w:rPr>
                <w:b/>
              </w:rPr>
            </w:pPr>
          </w:p>
        </w:tc>
      </w:tr>
      <w:tr w:rsidR="00EB617B" w:rsidRPr="00F935F7" w14:paraId="209616C0" w14:textId="77777777" w:rsidTr="00757DE6">
        <w:trPr>
          <w:trHeight w:val="481"/>
        </w:trPr>
        <w:tc>
          <w:tcPr>
            <w:tcW w:w="1467" w:type="pct"/>
            <w:tcBorders>
              <w:top w:val="single" w:sz="4" w:space="0" w:color="auto"/>
            </w:tcBorders>
          </w:tcPr>
          <w:p w14:paraId="1BECD566" w14:textId="7902ED8E" w:rsidR="00EB617B" w:rsidRPr="00F935F7" w:rsidRDefault="17021632" w:rsidP="00EB617B">
            <w:pPr>
              <w:pStyle w:val="anslagstabell"/>
            </w:pPr>
            <w:r>
              <w:t>Differens i 1000-tal kronor</w:t>
            </w:r>
          </w:p>
        </w:tc>
        <w:tc>
          <w:tcPr>
            <w:tcW w:w="706" w:type="pct"/>
            <w:tcBorders>
              <w:top w:val="single" w:sz="4" w:space="0" w:color="auto"/>
            </w:tcBorders>
          </w:tcPr>
          <w:p w14:paraId="67C37415" w14:textId="2A89FE26" w:rsidR="00EB617B" w:rsidRPr="001701F3" w:rsidRDefault="17021632" w:rsidP="00EB617B">
            <w:pPr>
              <w:pStyle w:val="anslagstabell-hgerstlld"/>
            </w:pPr>
            <w:r>
              <w:t>+4 628</w:t>
            </w:r>
          </w:p>
        </w:tc>
        <w:tc>
          <w:tcPr>
            <w:tcW w:w="706" w:type="pct"/>
            <w:tcBorders>
              <w:top w:val="single" w:sz="4" w:space="0" w:color="auto"/>
            </w:tcBorders>
          </w:tcPr>
          <w:p w14:paraId="50493526" w14:textId="3F09F297" w:rsidR="00EB617B" w:rsidRPr="001701F3" w:rsidRDefault="17021632" w:rsidP="00A26C39">
            <w:pPr>
              <w:pStyle w:val="anslagstabell-hgerstlld"/>
            </w:pPr>
            <w:r>
              <w:t>–163 200</w:t>
            </w:r>
          </w:p>
        </w:tc>
        <w:tc>
          <w:tcPr>
            <w:tcW w:w="706" w:type="pct"/>
            <w:tcBorders>
              <w:top w:val="single" w:sz="4" w:space="0" w:color="auto"/>
            </w:tcBorders>
          </w:tcPr>
          <w:p w14:paraId="2388E5BF" w14:textId="3A12BC7F" w:rsidR="00EB617B" w:rsidRPr="001701F3" w:rsidRDefault="17021632" w:rsidP="00A26C39">
            <w:pPr>
              <w:pStyle w:val="anslagstabell-hgerstlld"/>
            </w:pPr>
            <w:r>
              <w:t>–37 100</w:t>
            </w:r>
          </w:p>
        </w:tc>
        <w:tc>
          <w:tcPr>
            <w:tcW w:w="706" w:type="pct"/>
            <w:tcBorders>
              <w:top w:val="single" w:sz="4" w:space="0" w:color="auto"/>
            </w:tcBorders>
          </w:tcPr>
          <w:p w14:paraId="55E29C4A" w14:textId="764C4AF3" w:rsidR="00EB617B" w:rsidRPr="001701F3" w:rsidRDefault="17021632" w:rsidP="00A26C39">
            <w:pPr>
              <w:pStyle w:val="anslagstabell-hgerstlld"/>
            </w:pPr>
            <w:r>
              <w:t>–9 100</w:t>
            </w:r>
          </w:p>
        </w:tc>
        <w:tc>
          <w:tcPr>
            <w:tcW w:w="707" w:type="pct"/>
            <w:tcBorders>
              <w:top w:val="single" w:sz="4" w:space="0" w:color="auto"/>
            </w:tcBorders>
          </w:tcPr>
          <w:p w14:paraId="71929CCB" w14:textId="72E28BD7" w:rsidR="00EB617B" w:rsidRPr="001701F3" w:rsidRDefault="17021632" w:rsidP="00A26C39">
            <w:pPr>
              <w:pStyle w:val="anslagstabell-hgerstlld"/>
            </w:pPr>
            <w:r>
              <w:t>–58 100</w:t>
            </w:r>
          </w:p>
        </w:tc>
      </w:tr>
      <w:tr w:rsidR="00EB617B" w:rsidRPr="00F935F7" w14:paraId="098A62EE" w14:textId="77777777" w:rsidTr="00757DE6">
        <w:trPr>
          <w:trHeight w:val="270"/>
        </w:trPr>
        <w:tc>
          <w:tcPr>
            <w:tcW w:w="1467" w:type="pct"/>
            <w:tcBorders>
              <w:bottom w:val="single" w:sz="4" w:space="0" w:color="auto"/>
            </w:tcBorders>
          </w:tcPr>
          <w:p w14:paraId="38F39918" w14:textId="4FA82795" w:rsidR="00EB617B" w:rsidRPr="00F935F7" w:rsidRDefault="17021632" w:rsidP="00EB617B">
            <w:pPr>
              <w:pStyle w:val="anslagstabell"/>
              <w:keepNext w:val="0"/>
            </w:pPr>
            <w:r>
              <w:t>Differens i procent</w:t>
            </w:r>
          </w:p>
        </w:tc>
        <w:tc>
          <w:tcPr>
            <w:tcW w:w="706" w:type="pct"/>
            <w:tcBorders>
              <w:bottom w:val="single" w:sz="4" w:space="0" w:color="auto"/>
            </w:tcBorders>
          </w:tcPr>
          <w:p w14:paraId="74450349" w14:textId="4B8437AA" w:rsidR="00EB617B" w:rsidRPr="001701F3" w:rsidRDefault="17021632" w:rsidP="00EB617B">
            <w:pPr>
              <w:pStyle w:val="anslagstabell-hgerstlld"/>
            </w:pPr>
            <w:r>
              <w:t>+0,0</w:t>
            </w:r>
          </w:p>
        </w:tc>
        <w:tc>
          <w:tcPr>
            <w:tcW w:w="706" w:type="pct"/>
            <w:tcBorders>
              <w:bottom w:val="single" w:sz="4" w:space="0" w:color="auto"/>
            </w:tcBorders>
          </w:tcPr>
          <w:p w14:paraId="169BF1FF" w14:textId="24B5033F" w:rsidR="00EB617B" w:rsidRPr="001701F3" w:rsidRDefault="17021632" w:rsidP="00CB302C">
            <w:pPr>
              <w:pStyle w:val="anslagstabell-hgerstlld"/>
            </w:pPr>
            <w:r>
              <w:t>–1,1</w:t>
            </w:r>
          </w:p>
        </w:tc>
        <w:tc>
          <w:tcPr>
            <w:tcW w:w="706" w:type="pct"/>
            <w:tcBorders>
              <w:bottom w:val="single" w:sz="4" w:space="0" w:color="auto"/>
            </w:tcBorders>
          </w:tcPr>
          <w:p w14:paraId="779F7B75" w14:textId="1BF38463" w:rsidR="00EB617B" w:rsidRPr="001701F3" w:rsidRDefault="17021632" w:rsidP="00CB302C">
            <w:pPr>
              <w:pStyle w:val="anslagstabell-hgerstlld"/>
            </w:pPr>
            <w:r>
              <w:t>–0,3</w:t>
            </w:r>
          </w:p>
        </w:tc>
        <w:tc>
          <w:tcPr>
            <w:tcW w:w="706" w:type="pct"/>
            <w:tcBorders>
              <w:bottom w:val="single" w:sz="4" w:space="0" w:color="auto"/>
            </w:tcBorders>
          </w:tcPr>
          <w:p w14:paraId="3C501DB5" w14:textId="46E1C3DC" w:rsidR="00EB617B" w:rsidRPr="001701F3" w:rsidRDefault="17021632" w:rsidP="00CB302C">
            <w:pPr>
              <w:pStyle w:val="anslagstabell-hgerstlld"/>
            </w:pPr>
            <w:r>
              <w:t>–0,1</w:t>
            </w:r>
          </w:p>
        </w:tc>
        <w:tc>
          <w:tcPr>
            <w:tcW w:w="707" w:type="pct"/>
            <w:tcBorders>
              <w:bottom w:val="single" w:sz="4" w:space="0" w:color="auto"/>
            </w:tcBorders>
          </w:tcPr>
          <w:p w14:paraId="6890794D" w14:textId="5DEBBDAB" w:rsidR="00EB617B" w:rsidRPr="001701F3" w:rsidRDefault="17021632" w:rsidP="00CB302C">
            <w:pPr>
              <w:pStyle w:val="anslagstabell-hgerstlld"/>
            </w:pPr>
            <w:r>
              <w:t>–0,4</w:t>
            </w:r>
          </w:p>
        </w:tc>
      </w:tr>
    </w:tbl>
    <w:p w14:paraId="1D0203C7" w14:textId="77777777" w:rsidR="00C66E22" w:rsidRPr="0069564F" w:rsidRDefault="00C66E22" w:rsidP="005C58EB"/>
    <w:p w14:paraId="72FA04B2" w14:textId="68EE633B" w:rsidR="006F3918" w:rsidRPr="00B44852" w:rsidRDefault="17021632" w:rsidP="006F3918">
      <w:pPr>
        <w:pStyle w:val="Rubrik4"/>
      </w:pPr>
      <w:r>
        <w:t>Ändrade makroekonomiska antaganden</w:t>
      </w:r>
    </w:p>
    <w:p w14:paraId="6E247DC9" w14:textId="3B54813A" w:rsidR="00B725D9" w:rsidRDefault="17021632" w:rsidP="00B725D9">
      <w:r>
        <w:t>Utgifterna för garantipension påverkas främst av prisbasbeloppet men indirekt även av inkomstindex/balansindex (ju lägre inkomstindex/balansindex desto högre garantipensioner).</w:t>
      </w:r>
    </w:p>
    <w:p w14:paraId="33EE68CF" w14:textId="77777777" w:rsidR="00B725D9" w:rsidRPr="00D21385" w:rsidRDefault="00B725D9" w:rsidP="00B725D9"/>
    <w:p w14:paraId="08FA78F1" w14:textId="6E3B1593" w:rsidR="00B725D9" w:rsidRDefault="00B725D9" w:rsidP="00B725D9">
      <w:pPr>
        <w:rPr>
          <w:snapToGrid w:val="0"/>
        </w:rPr>
      </w:pPr>
      <w:r w:rsidRPr="00D21385">
        <w:rPr>
          <w:snapToGrid w:val="0"/>
        </w:rPr>
        <w:t xml:space="preserve">Prognosen för prisbasbeloppet är </w:t>
      </w:r>
      <w:r w:rsidR="004B3455">
        <w:rPr>
          <w:snapToGrid w:val="0"/>
        </w:rPr>
        <w:t>höjd</w:t>
      </w:r>
      <w:r w:rsidRPr="00D21385">
        <w:rPr>
          <w:snapToGrid w:val="0"/>
        </w:rPr>
        <w:t xml:space="preserve"> för år</w:t>
      </w:r>
      <w:r>
        <w:rPr>
          <w:snapToGrid w:val="0"/>
        </w:rPr>
        <w:t>en</w:t>
      </w:r>
      <w:r w:rsidRPr="00D21385">
        <w:rPr>
          <w:snapToGrid w:val="0"/>
        </w:rPr>
        <w:t xml:space="preserve"> 20</w:t>
      </w:r>
      <w:r>
        <w:rPr>
          <w:snapToGrid w:val="0"/>
        </w:rPr>
        <w:t xml:space="preserve">21–2022 </w:t>
      </w:r>
      <w:r w:rsidRPr="00D21385">
        <w:rPr>
          <w:snapToGrid w:val="0"/>
        </w:rPr>
        <w:t xml:space="preserve">jämfört med prognosen i </w:t>
      </w:r>
      <w:r>
        <w:rPr>
          <w:snapToGrid w:val="0"/>
        </w:rPr>
        <w:t>föregående anslagsuppföljning</w:t>
      </w:r>
      <w:r w:rsidRPr="00D21385">
        <w:rPr>
          <w:snapToGrid w:val="0"/>
        </w:rPr>
        <w:t>. Det har haft en</w:t>
      </w:r>
      <w:r w:rsidRPr="7B589441">
        <w:t xml:space="preserve"> </w:t>
      </w:r>
      <w:r w:rsidR="004B3455">
        <w:rPr>
          <w:snapToGrid w:val="0"/>
        </w:rPr>
        <w:t>höj</w:t>
      </w:r>
      <w:r>
        <w:rPr>
          <w:snapToGrid w:val="0"/>
        </w:rPr>
        <w:t xml:space="preserve">ande </w:t>
      </w:r>
      <w:r w:rsidRPr="00D21385">
        <w:rPr>
          <w:snapToGrid w:val="0"/>
        </w:rPr>
        <w:t>effekt på utgiftsprognosen</w:t>
      </w:r>
      <w:r>
        <w:rPr>
          <w:snapToGrid w:val="0"/>
        </w:rPr>
        <w:t xml:space="preserve"> för dessa år.</w:t>
      </w:r>
    </w:p>
    <w:p w14:paraId="30876F30" w14:textId="77777777" w:rsidR="00B725D9" w:rsidRPr="00D21385" w:rsidRDefault="00B725D9" w:rsidP="00B725D9"/>
    <w:p w14:paraId="4D5E91C9" w14:textId="06BF8CFF" w:rsidR="006F3918" w:rsidRDefault="17021632" w:rsidP="004B3455">
      <w:r>
        <w:t>Prognosen för inkomstindex är höjd för åren 2022–2023 jämfört med prognosen i föregående anslagsuppföljning. Det har haft en minskande effekt för utgiftsprognosen för garantipension dessa år.</w:t>
      </w:r>
    </w:p>
    <w:p w14:paraId="7157AF6C" w14:textId="529F892E" w:rsidR="00C84501" w:rsidRPr="00B44852" w:rsidRDefault="17021632" w:rsidP="00C84501">
      <w:pPr>
        <w:pStyle w:val="Rubrik4"/>
      </w:pPr>
      <w:r>
        <w:lastRenderedPageBreak/>
        <w:t>Volym- och strukturförändringar</w:t>
      </w:r>
    </w:p>
    <w:p w14:paraId="4BF1C309" w14:textId="18CAECF5" w:rsidR="00C84501" w:rsidRDefault="17021632" w:rsidP="00C84501">
      <w:r>
        <w:t xml:space="preserve">De retroaktiva utgifterna för år 2019 beräknas bli högre jämfört med prognosen i föregående anslagsuppföljning. </w:t>
      </w:r>
    </w:p>
    <w:p w14:paraId="3BF13730" w14:textId="3D6DA297" w:rsidR="00381093" w:rsidRDefault="00381093" w:rsidP="00C84501"/>
    <w:p w14:paraId="57CDFD23" w14:textId="0A07715D" w:rsidR="00444FE8" w:rsidRDefault="7B589441" w:rsidP="00C84501">
      <w:r>
        <w:t>Antalet ärenden för garantipension som ska beräknas om, som följd av EU-domen, bedöms bli färre än vad som tidigare har antagits. Det beräknas leda till lägre utgifter för åren 2020</w:t>
      </w:r>
      <w:r w:rsidR="00325ECC" w:rsidRPr="17021632">
        <w:t>–</w:t>
      </w:r>
      <w:r>
        <w:t>2023 än vad som tidigare har antagits. Utgiftsprognosen har av den anledningen sänkts jämfört med föregående anslagsuppföljning. I den tidigare bedömningen som gjordes i juli 2018 utgick Pensionsmyndigheten från att drygt 90 000 ärenden skulle räknas om och nu bedömer vi att det är cirka 45 000 ärenden som får ändrat belopp vid omräkning.</w:t>
      </w:r>
      <w:r w:rsidR="00945C2D">
        <w:t xml:space="preserve"> </w:t>
      </w:r>
      <w:r w:rsidR="00F3448F">
        <w:t xml:space="preserve">Utgifterna för januari blir något lägre jämfört med vad som tidigare prognostiserats. </w:t>
      </w:r>
      <w:r w:rsidR="00945C2D">
        <w:t>Prognosen för 2020 är sänkt</w:t>
      </w:r>
      <w:r w:rsidR="00F3448F">
        <w:t xml:space="preserve"> </w:t>
      </w:r>
      <w:r w:rsidR="00945C2D">
        <w:t>med</w:t>
      </w:r>
      <w:r w:rsidR="00F3448F">
        <w:t xml:space="preserve"> </w:t>
      </w:r>
      <w:r w:rsidR="00B87B5F">
        <w:t>1</w:t>
      </w:r>
      <w:r w:rsidR="00F3448F">
        <w:t>95 miljoner kronor av den anledningen.</w:t>
      </w:r>
    </w:p>
    <w:p w14:paraId="12F1C869" w14:textId="35BF2A04" w:rsidR="00CB302C" w:rsidRDefault="00CB302C" w:rsidP="00C84501"/>
    <w:p w14:paraId="01BBB24D" w14:textId="7913BF04" w:rsidR="00F3448F" w:rsidRDefault="17021632" w:rsidP="00C84501">
      <w:r>
        <w:t>Det beräknas bli något fler pensionärer födda 1937 eller tidigare med garantipension. Prognosen är höjd jämfört med prognosen i föregående anslagsuppföljning.</w:t>
      </w:r>
    </w:p>
    <w:p w14:paraId="26F915CF" w14:textId="77777777" w:rsidR="005C58EB" w:rsidRPr="00976CD1" w:rsidRDefault="002A1C0C" w:rsidP="005C58EB">
      <w:pPr>
        <w:pStyle w:val="anslagspostrubrik"/>
      </w:pPr>
      <w:bookmarkStart w:id="8" w:name="_Toc221685246"/>
      <w:r>
        <w:t>11.</w:t>
      </w:r>
      <w:r w:rsidR="005C58EB">
        <w:t>1:2</w:t>
      </w:r>
      <w:r w:rsidR="005C58EB">
        <w:tab/>
        <w:t>Efterlevandepensioner till vuxna</w:t>
      </w:r>
      <w:bookmarkEnd w:id="8"/>
    </w:p>
    <w:p w14:paraId="3CC6734D" w14:textId="64B862FA" w:rsidR="005C58EB" w:rsidRDefault="17021632" w:rsidP="005C58EB">
      <w:pPr>
        <w:keepNext/>
      </w:pPr>
      <w:r>
        <w:t>I tabellen nedan görs en jämförelse med föregående prognos som lämnades till regeringen i oktober 2019.</w:t>
      </w:r>
    </w:p>
    <w:p w14:paraId="2442274B" w14:textId="0B0E17D1" w:rsidR="00A62E49" w:rsidRDefault="00A62E49" w:rsidP="005C58EB">
      <w:pPr>
        <w:keepNext/>
      </w:pPr>
    </w:p>
    <w:p w14:paraId="7D0B592B" w14:textId="77777777" w:rsidR="00D14B5D" w:rsidRPr="00A01D93" w:rsidRDefault="17021632" w:rsidP="00D14B5D">
      <w:pPr>
        <w:keepNext/>
      </w:pPr>
      <w:r w:rsidRPr="17021632">
        <w:rPr>
          <w:rStyle w:val="versikt-fet"/>
        </w:rPr>
        <w:t>Prognosjämförelse.</w:t>
      </w:r>
      <w:r>
        <w:t xml:space="preserve"> Beloppen anges i 1000-tal kronor </w:t>
      </w:r>
    </w:p>
    <w:tbl>
      <w:tblPr>
        <w:tblW w:w="5208" w:type="pct"/>
        <w:tblCellMar>
          <w:left w:w="70" w:type="dxa"/>
          <w:right w:w="70" w:type="dxa"/>
        </w:tblCellMar>
        <w:tblLook w:val="0000" w:firstRow="0" w:lastRow="0" w:firstColumn="0" w:lastColumn="0" w:noHBand="0" w:noVBand="0"/>
      </w:tblPr>
      <w:tblGrid>
        <w:gridCol w:w="2413"/>
        <w:gridCol w:w="1053"/>
        <w:gridCol w:w="1053"/>
        <w:gridCol w:w="1053"/>
        <w:gridCol w:w="1053"/>
        <w:gridCol w:w="1052"/>
      </w:tblGrid>
      <w:tr w:rsidR="00D14B5D" w:rsidRPr="00B44852" w14:paraId="21F9BBF6" w14:textId="77777777" w:rsidTr="00757DE6">
        <w:trPr>
          <w:trHeight w:val="274"/>
        </w:trPr>
        <w:tc>
          <w:tcPr>
            <w:tcW w:w="1571" w:type="pct"/>
            <w:tcBorders>
              <w:top w:val="single" w:sz="4" w:space="0" w:color="auto"/>
              <w:bottom w:val="single" w:sz="4" w:space="0" w:color="auto"/>
            </w:tcBorders>
          </w:tcPr>
          <w:p w14:paraId="3768AF39" w14:textId="77777777" w:rsidR="00D14B5D" w:rsidRPr="00B44852" w:rsidRDefault="00D14B5D" w:rsidP="00EB617B">
            <w:pPr>
              <w:pStyle w:val="anslagstabell"/>
              <w:jc w:val="center"/>
              <w:rPr>
                <w:b/>
              </w:rPr>
            </w:pPr>
          </w:p>
        </w:tc>
        <w:tc>
          <w:tcPr>
            <w:tcW w:w="686" w:type="pct"/>
            <w:tcBorders>
              <w:top w:val="single" w:sz="4" w:space="0" w:color="auto"/>
              <w:bottom w:val="single" w:sz="4" w:space="0" w:color="auto"/>
            </w:tcBorders>
          </w:tcPr>
          <w:p w14:paraId="4616E710" w14:textId="77777777" w:rsidR="00D14B5D" w:rsidRPr="00B44852" w:rsidRDefault="17021632" w:rsidP="17021632">
            <w:pPr>
              <w:pStyle w:val="anslagstabell"/>
              <w:jc w:val="center"/>
              <w:rPr>
                <w:b/>
                <w:bCs/>
              </w:rPr>
            </w:pPr>
            <w:r w:rsidRPr="17021632">
              <w:rPr>
                <w:b/>
                <w:bCs/>
              </w:rPr>
              <w:t>2019</w:t>
            </w:r>
          </w:p>
        </w:tc>
        <w:tc>
          <w:tcPr>
            <w:tcW w:w="686" w:type="pct"/>
            <w:tcBorders>
              <w:top w:val="single" w:sz="4" w:space="0" w:color="auto"/>
              <w:bottom w:val="single" w:sz="4" w:space="0" w:color="auto"/>
            </w:tcBorders>
          </w:tcPr>
          <w:p w14:paraId="77AB23FB" w14:textId="77777777" w:rsidR="00D14B5D" w:rsidRDefault="17021632" w:rsidP="17021632">
            <w:pPr>
              <w:pStyle w:val="anslagstabell"/>
              <w:jc w:val="center"/>
              <w:rPr>
                <w:b/>
                <w:bCs/>
              </w:rPr>
            </w:pPr>
            <w:r w:rsidRPr="17021632">
              <w:rPr>
                <w:b/>
                <w:bCs/>
              </w:rPr>
              <w:t>2020</w:t>
            </w:r>
          </w:p>
        </w:tc>
        <w:tc>
          <w:tcPr>
            <w:tcW w:w="686" w:type="pct"/>
            <w:tcBorders>
              <w:top w:val="single" w:sz="4" w:space="0" w:color="auto"/>
              <w:bottom w:val="single" w:sz="4" w:space="0" w:color="auto"/>
            </w:tcBorders>
          </w:tcPr>
          <w:p w14:paraId="7B9045D9" w14:textId="77777777" w:rsidR="00D14B5D" w:rsidRDefault="17021632" w:rsidP="17021632">
            <w:pPr>
              <w:pStyle w:val="anslagstabell"/>
              <w:jc w:val="center"/>
              <w:rPr>
                <w:b/>
                <w:bCs/>
              </w:rPr>
            </w:pPr>
            <w:r w:rsidRPr="17021632">
              <w:rPr>
                <w:b/>
                <w:bCs/>
              </w:rPr>
              <w:t>2021</w:t>
            </w:r>
          </w:p>
        </w:tc>
        <w:tc>
          <w:tcPr>
            <w:tcW w:w="686" w:type="pct"/>
            <w:tcBorders>
              <w:top w:val="single" w:sz="4" w:space="0" w:color="auto"/>
              <w:bottom w:val="single" w:sz="4" w:space="0" w:color="auto"/>
            </w:tcBorders>
          </w:tcPr>
          <w:p w14:paraId="68D484CC" w14:textId="77777777" w:rsidR="00D14B5D" w:rsidRDefault="17021632" w:rsidP="17021632">
            <w:pPr>
              <w:pStyle w:val="anslagstabell"/>
              <w:jc w:val="center"/>
              <w:rPr>
                <w:b/>
                <w:bCs/>
              </w:rPr>
            </w:pPr>
            <w:r w:rsidRPr="17021632">
              <w:rPr>
                <w:b/>
                <w:bCs/>
              </w:rPr>
              <w:t>2022</w:t>
            </w:r>
          </w:p>
        </w:tc>
        <w:tc>
          <w:tcPr>
            <w:tcW w:w="686" w:type="pct"/>
            <w:tcBorders>
              <w:top w:val="single" w:sz="4" w:space="0" w:color="auto"/>
              <w:bottom w:val="single" w:sz="4" w:space="0" w:color="auto"/>
            </w:tcBorders>
          </w:tcPr>
          <w:p w14:paraId="3BF786C3" w14:textId="77777777" w:rsidR="00D14B5D" w:rsidRDefault="17021632" w:rsidP="17021632">
            <w:pPr>
              <w:pStyle w:val="anslagstabell"/>
              <w:jc w:val="center"/>
              <w:rPr>
                <w:b/>
                <w:bCs/>
              </w:rPr>
            </w:pPr>
            <w:r w:rsidRPr="17021632">
              <w:rPr>
                <w:b/>
                <w:bCs/>
              </w:rPr>
              <w:t>2023</w:t>
            </w:r>
          </w:p>
        </w:tc>
      </w:tr>
      <w:tr w:rsidR="00EB617B" w:rsidRPr="00E81B3C" w14:paraId="7209FF64" w14:textId="77777777" w:rsidTr="00757DE6">
        <w:trPr>
          <w:trHeight w:val="478"/>
        </w:trPr>
        <w:tc>
          <w:tcPr>
            <w:tcW w:w="1571" w:type="pct"/>
            <w:tcBorders>
              <w:top w:val="single" w:sz="4" w:space="0" w:color="auto"/>
            </w:tcBorders>
          </w:tcPr>
          <w:p w14:paraId="04AC8D09" w14:textId="77777777" w:rsidR="00EB617B" w:rsidRPr="008244FA" w:rsidRDefault="17021632" w:rsidP="17021632">
            <w:pPr>
              <w:pStyle w:val="anslagstabell"/>
              <w:rPr>
                <w:b/>
                <w:bCs/>
              </w:rPr>
            </w:pPr>
            <w:r w:rsidRPr="17021632">
              <w:rPr>
                <w:b/>
                <w:bCs/>
              </w:rPr>
              <w:t>Föregående prognos</w:t>
            </w:r>
          </w:p>
        </w:tc>
        <w:tc>
          <w:tcPr>
            <w:tcW w:w="686" w:type="pct"/>
            <w:tcBorders>
              <w:top w:val="single" w:sz="4" w:space="0" w:color="auto"/>
            </w:tcBorders>
          </w:tcPr>
          <w:p w14:paraId="6AAB3C61" w14:textId="4D423323" w:rsidR="00EB617B" w:rsidRPr="001D0290" w:rsidRDefault="17021632" w:rsidP="00757DE6">
            <w:pPr>
              <w:pStyle w:val="anslagstabell-hgerstlld"/>
              <w:rPr>
                <w:b/>
                <w:bCs/>
              </w:rPr>
            </w:pPr>
            <w:r w:rsidRPr="17021632">
              <w:rPr>
                <w:b/>
                <w:bCs/>
              </w:rPr>
              <w:t>10 369 400</w:t>
            </w:r>
          </w:p>
        </w:tc>
        <w:tc>
          <w:tcPr>
            <w:tcW w:w="686" w:type="pct"/>
            <w:tcBorders>
              <w:top w:val="single" w:sz="4" w:space="0" w:color="auto"/>
            </w:tcBorders>
          </w:tcPr>
          <w:p w14:paraId="46383239" w14:textId="7FB096DC" w:rsidR="00EB617B" w:rsidRPr="001D0290" w:rsidRDefault="17021632" w:rsidP="00757DE6">
            <w:pPr>
              <w:pStyle w:val="anslagstabell-hgerstlld"/>
              <w:rPr>
                <w:b/>
                <w:bCs/>
              </w:rPr>
            </w:pPr>
            <w:r w:rsidRPr="17021632">
              <w:rPr>
                <w:b/>
                <w:bCs/>
              </w:rPr>
              <w:t>9 891 400</w:t>
            </w:r>
          </w:p>
        </w:tc>
        <w:tc>
          <w:tcPr>
            <w:tcW w:w="686" w:type="pct"/>
            <w:tcBorders>
              <w:top w:val="single" w:sz="4" w:space="0" w:color="auto"/>
            </w:tcBorders>
          </w:tcPr>
          <w:p w14:paraId="74EB9E81" w14:textId="34986B43" w:rsidR="00EB617B" w:rsidRPr="001D0290" w:rsidRDefault="17021632" w:rsidP="00757DE6">
            <w:pPr>
              <w:pStyle w:val="anslagstabell-hgerstlld"/>
              <w:rPr>
                <w:b/>
                <w:bCs/>
              </w:rPr>
            </w:pPr>
            <w:r w:rsidRPr="17021632">
              <w:rPr>
                <w:b/>
                <w:bCs/>
              </w:rPr>
              <w:t>9 256 800</w:t>
            </w:r>
          </w:p>
        </w:tc>
        <w:tc>
          <w:tcPr>
            <w:tcW w:w="686" w:type="pct"/>
            <w:tcBorders>
              <w:top w:val="single" w:sz="4" w:space="0" w:color="auto"/>
            </w:tcBorders>
          </w:tcPr>
          <w:p w14:paraId="0E2CA6FD" w14:textId="5657AE33" w:rsidR="00EB617B" w:rsidRPr="001D0290" w:rsidRDefault="17021632" w:rsidP="00757DE6">
            <w:pPr>
              <w:pStyle w:val="anslagstabell-hgerstlld"/>
              <w:rPr>
                <w:b/>
                <w:bCs/>
              </w:rPr>
            </w:pPr>
            <w:r w:rsidRPr="17021632">
              <w:rPr>
                <w:b/>
                <w:bCs/>
              </w:rPr>
              <w:t>8 683 200</w:t>
            </w:r>
          </w:p>
        </w:tc>
        <w:tc>
          <w:tcPr>
            <w:tcW w:w="686" w:type="pct"/>
            <w:tcBorders>
              <w:top w:val="single" w:sz="4" w:space="0" w:color="auto"/>
            </w:tcBorders>
          </w:tcPr>
          <w:p w14:paraId="620EEF95" w14:textId="7CC2B197" w:rsidR="00EB617B" w:rsidRPr="001D0290" w:rsidRDefault="17021632" w:rsidP="00757DE6">
            <w:pPr>
              <w:pStyle w:val="anslagstabell-hgerstlld"/>
              <w:rPr>
                <w:b/>
                <w:bCs/>
              </w:rPr>
            </w:pPr>
            <w:r w:rsidRPr="17021632">
              <w:rPr>
                <w:b/>
                <w:bCs/>
              </w:rPr>
              <w:t>8 158 400</w:t>
            </w:r>
          </w:p>
        </w:tc>
      </w:tr>
      <w:tr w:rsidR="00EB617B" w:rsidRPr="00E81B3C" w14:paraId="1F319D17" w14:textId="77777777" w:rsidTr="00757DE6">
        <w:trPr>
          <w:trHeight w:val="478"/>
        </w:trPr>
        <w:tc>
          <w:tcPr>
            <w:tcW w:w="1571" w:type="pct"/>
          </w:tcPr>
          <w:p w14:paraId="04979E7C" w14:textId="77777777" w:rsidR="00EB617B" w:rsidRPr="00B44852" w:rsidRDefault="17021632" w:rsidP="00EB617B">
            <w:pPr>
              <w:pStyle w:val="anslagstabell"/>
            </w:pPr>
            <w:r>
              <w:t>Överföring till/från andra anslag</w:t>
            </w:r>
          </w:p>
        </w:tc>
        <w:tc>
          <w:tcPr>
            <w:tcW w:w="686" w:type="pct"/>
          </w:tcPr>
          <w:p w14:paraId="47A7B7F7" w14:textId="77777777" w:rsidR="00EB617B" w:rsidRPr="00E81B3C" w:rsidRDefault="00EB617B" w:rsidP="00EB617B">
            <w:pPr>
              <w:pStyle w:val="anslagstabell-hgerstlld"/>
              <w:rPr>
                <w:color w:val="FF0000"/>
              </w:rPr>
            </w:pPr>
          </w:p>
        </w:tc>
        <w:tc>
          <w:tcPr>
            <w:tcW w:w="686" w:type="pct"/>
          </w:tcPr>
          <w:p w14:paraId="08494C0F" w14:textId="77777777" w:rsidR="00EB617B" w:rsidRPr="00E81B3C" w:rsidRDefault="00EB617B" w:rsidP="00EB617B">
            <w:pPr>
              <w:pStyle w:val="anslagstabell-hgerstlld"/>
              <w:rPr>
                <w:color w:val="FF0000"/>
              </w:rPr>
            </w:pPr>
          </w:p>
        </w:tc>
        <w:tc>
          <w:tcPr>
            <w:tcW w:w="686" w:type="pct"/>
          </w:tcPr>
          <w:p w14:paraId="7EF7A04E" w14:textId="77777777" w:rsidR="00EB617B" w:rsidRPr="00E81B3C" w:rsidRDefault="00EB617B" w:rsidP="00EB617B">
            <w:pPr>
              <w:pStyle w:val="anslagstabell-hgerstlld"/>
              <w:rPr>
                <w:color w:val="FF0000"/>
              </w:rPr>
            </w:pPr>
          </w:p>
        </w:tc>
        <w:tc>
          <w:tcPr>
            <w:tcW w:w="686" w:type="pct"/>
          </w:tcPr>
          <w:p w14:paraId="7CCDCDC3" w14:textId="77777777" w:rsidR="00EB617B" w:rsidRPr="00E81B3C" w:rsidRDefault="00EB617B" w:rsidP="00EB617B">
            <w:pPr>
              <w:pStyle w:val="anslagstabell-hgerstlld"/>
              <w:rPr>
                <w:color w:val="FF0000"/>
              </w:rPr>
            </w:pPr>
          </w:p>
        </w:tc>
        <w:tc>
          <w:tcPr>
            <w:tcW w:w="686" w:type="pct"/>
          </w:tcPr>
          <w:p w14:paraId="7E5BB4BC" w14:textId="77777777" w:rsidR="00EB617B" w:rsidRPr="00E81B3C" w:rsidRDefault="00EB617B" w:rsidP="00EB617B">
            <w:pPr>
              <w:pStyle w:val="anslagstabell-hgerstlld"/>
              <w:rPr>
                <w:color w:val="FF0000"/>
              </w:rPr>
            </w:pPr>
          </w:p>
        </w:tc>
      </w:tr>
      <w:tr w:rsidR="00EB617B" w:rsidRPr="00E81B3C" w14:paraId="31F6C325" w14:textId="77777777" w:rsidTr="00757DE6">
        <w:trPr>
          <w:trHeight w:val="488"/>
        </w:trPr>
        <w:tc>
          <w:tcPr>
            <w:tcW w:w="1571" w:type="pct"/>
          </w:tcPr>
          <w:p w14:paraId="4D643A85" w14:textId="77777777" w:rsidR="00EB617B" w:rsidRPr="00B44852" w:rsidRDefault="17021632" w:rsidP="00EB617B">
            <w:pPr>
              <w:pStyle w:val="anslagstabell"/>
            </w:pPr>
            <w:r>
              <w:t>Ändrade makroekonomiska antaganden</w:t>
            </w:r>
          </w:p>
        </w:tc>
        <w:tc>
          <w:tcPr>
            <w:tcW w:w="686" w:type="pct"/>
          </w:tcPr>
          <w:p w14:paraId="1925DEE1" w14:textId="0F8A6D31" w:rsidR="00EB617B" w:rsidRPr="00E81B3C" w:rsidRDefault="17021632" w:rsidP="17021632">
            <w:pPr>
              <w:pStyle w:val="anslagstabell-hgerstlld"/>
              <w:rPr>
                <w:color w:val="FF0000"/>
              </w:rPr>
            </w:pPr>
            <w:r w:rsidRPr="17021632">
              <w:rPr>
                <w:color w:val="FF0000"/>
              </w:rPr>
              <w:t>+400</w:t>
            </w:r>
          </w:p>
        </w:tc>
        <w:tc>
          <w:tcPr>
            <w:tcW w:w="686" w:type="pct"/>
          </w:tcPr>
          <w:p w14:paraId="5CE41A0E" w14:textId="41C397AD" w:rsidR="00EB617B" w:rsidRPr="00E81B3C" w:rsidRDefault="17021632" w:rsidP="00EB617B">
            <w:pPr>
              <w:pStyle w:val="anslagstabell-hgerstlld"/>
            </w:pPr>
            <w:r>
              <w:t>+1 500</w:t>
            </w:r>
          </w:p>
        </w:tc>
        <w:tc>
          <w:tcPr>
            <w:tcW w:w="686" w:type="pct"/>
          </w:tcPr>
          <w:p w14:paraId="35C86D65" w14:textId="5407A245" w:rsidR="00EB617B" w:rsidRPr="00E81B3C" w:rsidRDefault="17021632" w:rsidP="00EB617B">
            <w:pPr>
              <w:pStyle w:val="anslagstabell-hgerstlld"/>
            </w:pPr>
            <w:r>
              <w:t>+2 400</w:t>
            </w:r>
          </w:p>
        </w:tc>
        <w:tc>
          <w:tcPr>
            <w:tcW w:w="686" w:type="pct"/>
          </w:tcPr>
          <w:p w14:paraId="65197B27" w14:textId="44540C3D" w:rsidR="00EB617B" w:rsidRPr="00E81B3C" w:rsidRDefault="17021632" w:rsidP="00EB617B">
            <w:pPr>
              <w:pStyle w:val="anslagstabell-hgerstlld"/>
            </w:pPr>
            <w:r>
              <w:t>+17 000</w:t>
            </w:r>
          </w:p>
        </w:tc>
        <w:tc>
          <w:tcPr>
            <w:tcW w:w="686" w:type="pct"/>
          </w:tcPr>
          <w:p w14:paraId="1D96819A" w14:textId="14A34D4E" w:rsidR="00EB617B" w:rsidRPr="00E81B3C" w:rsidRDefault="17021632" w:rsidP="00EB617B">
            <w:pPr>
              <w:pStyle w:val="anslagstabell-hgerstlld"/>
            </w:pPr>
            <w:r>
              <w:t>+15 900</w:t>
            </w:r>
          </w:p>
        </w:tc>
      </w:tr>
      <w:tr w:rsidR="00EB617B" w:rsidRPr="00E81B3C" w14:paraId="4903F0BD" w14:textId="77777777" w:rsidTr="00757DE6">
        <w:trPr>
          <w:trHeight w:val="478"/>
        </w:trPr>
        <w:tc>
          <w:tcPr>
            <w:tcW w:w="1571" w:type="pct"/>
          </w:tcPr>
          <w:p w14:paraId="62A91FE1" w14:textId="77777777" w:rsidR="00EB617B" w:rsidRPr="00B44852" w:rsidRDefault="17021632" w:rsidP="00EB617B">
            <w:pPr>
              <w:pStyle w:val="anslagstabell"/>
            </w:pPr>
            <w:r>
              <w:t>Volym- och strukturförändringar</w:t>
            </w:r>
          </w:p>
        </w:tc>
        <w:tc>
          <w:tcPr>
            <w:tcW w:w="686" w:type="pct"/>
          </w:tcPr>
          <w:p w14:paraId="0D38F8D9" w14:textId="1E9F1F89" w:rsidR="00EB617B" w:rsidRPr="001701F3" w:rsidRDefault="17021632" w:rsidP="00EB617B">
            <w:pPr>
              <w:pStyle w:val="anslagstabell-hgerstlld"/>
            </w:pPr>
            <w:r>
              <w:t xml:space="preserve">+12 </w:t>
            </w:r>
            <w:r w:rsidR="006D05CC">
              <w:t>680</w:t>
            </w:r>
          </w:p>
        </w:tc>
        <w:tc>
          <w:tcPr>
            <w:tcW w:w="686" w:type="pct"/>
          </w:tcPr>
          <w:p w14:paraId="5DAF44D8" w14:textId="1CC3AA27" w:rsidR="00EB617B" w:rsidRPr="001701F3" w:rsidRDefault="17021632" w:rsidP="00EB617B">
            <w:pPr>
              <w:pStyle w:val="anslagstabell-hgerstlld"/>
            </w:pPr>
            <w:r>
              <w:t>+51 500</w:t>
            </w:r>
          </w:p>
        </w:tc>
        <w:tc>
          <w:tcPr>
            <w:tcW w:w="686" w:type="pct"/>
          </w:tcPr>
          <w:p w14:paraId="27F0EC29" w14:textId="57E361B1" w:rsidR="00EB617B" w:rsidRPr="001701F3" w:rsidRDefault="17021632" w:rsidP="00EB617B">
            <w:pPr>
              <w:pStyle w:val="anslagstabell-hgerstlld"/>
            </w:pPr>
            <w:r>
              <w:t>+48 500</w:t>
            </w:r>
          </w:p>
        </w:tc>
        <w:tc>
          <w:tcPr>
            <w:tcW w:w="686" w:type="pct"/>
          </w:tcPr>
          <w:p w14:paraId="60A0A4A1" w14:textId="757A27D2" w:rsidR="00EB617B" w:rsidRPr="001701F3" w:rsidRDefault="17021632" w:rsidP="00EB617B">
            <w:pPr>
              <w:pStyle w:val="anslagstabell-hgerstlld"/>
            </w:pPr>
            <w:r>
              <w:t>+41 500</w:t>
            </w:r>
          </w:p>
        </w:tc>
        <w:tc>
          <w:tcPr>
            <w:tcW w:w="686" w:type="pct"/>
          </w:tcPr>
          <w:p w14:paraId="0DD89620" w14:textId="689621AD" w:rsidR="00EB617B" w:rsidRPr="001701F3" w:rsidRDefault="17021632" w:rsidP="00EB617B">
            <w:pPr>
              <w:pStyle w:val="anslagstabell-hgerstlld"/>
            </w:pPr>
            <w:r>
              <w:t>+32 500</w:t>
            </w:r>
          </w:p>
        </w:tc>
      </w:tr>
      <w:tr w:rsidR="00EB617B" w:rsidRPr="00E81B3C" w14:paraId="68448239" w14:textId="77777777" w:rsidTr="00757DE6">
        <w:trPr>
          <w:trHeight w:val="274"/>
        </w:trPr>
        <w:tc>
          <w:tcPr>
            <w:tcW w:w="1571" w:type="pct"/>
          </w:tcPr>
          <w:p w14:paraId="37375575" w14:textId="77777777" w:rsidR="00EB617B" w:rsidRPr="00B44852" w:rsidRDefault="17021632" w:rsidP="00EB617B">
            <w:pPr>
              <w:pStyle w:val="anslagstabell"/>
            </w:pPr>
            <w:r>
              <w:t>Ny regeländring</w:t>
            </w:r>
          </w:p>
        </w:tc>
        <w:tc>
          <w:tcPr>
            <w:tcW w:w="686" w:type="pct"/>
          </w:tcPr>
          <w:p w14:paraId="60D63854" w14:textId="77777777" w:rsidR="00EB617B" w:rsidRPr="00E81B3C" w:rsidRDefault="00EB617B" w:rsidP="00EB617B">
            <w:pPr>
              <w:pStyle w:val="anslagstabell-hgerstlld"/>
              <w:rPr>
                <w:color w:val="FF0000"/>
              </w:rPr>
            </w:pPr>
          </w:p>
        </w:tc>
        <w:tc>
          <w:tcPr>
            <w:tcW w:w="686" w:type="pct"/>
          </w:tcPr>
          <w:p w14:paraId="153BCBA8" w14:textId="77777777" w:rsidR="00EB617B" w:rsidRPr="00E81B3C" w:rsidRDefault="00EB617B" w:rsidP="00EB617B">
            <w:pPr>
              <w:pStyle w:val="anslagstabell-hgerstlld"/>
              <w:rPr>
                <w:color w:val="FF0000"/>
              </w:rPr>
            </w:pPr>
          </w:p>
        </w:tc>
        <w:tc>
          <w:tcPr>
            <w:tcW w:w="686" w:type="pct"/>
          </w:tcPr>
          <w:p w14:paraId="3200970B" w14:textId="77777777" w:rsidR="00EB617B" w:rsidRPr="00E81B3C" w:rsidRDefault="00EB617B" w:rsidP="00EB617B">
            <w:pPr>
              <w:pStyle w:val="anslagstabell-hgerstlld"/>
              <w:rPr>
                <w:color w:val="FF0000"/>
              </w:rPr>
            </w:pPr>
          </w:p>
        </w:tc>
        <w:tc>
          <w:tcPr>
            <w:tcW w:w="686" w:type="pct"/>
          </w:tcPr>
          <w:p w14:paraId="5BAF3E83" w14:textId="77777777" w:rsidR="00EB617B" w:rsidRPr="00E81B3C" w:rsidRDefault="00EB617B" w:rsidP="00EB617B">
            <w:pPr>
              <w:pStyle w:val="anslagstabell-hgerstlld"/>
              <w:rPr>
                <w:color w:val="FF0000"/>
              </w:rPr>
            </w:pPr>
          </w:p>
        </w:tc>
        <w:tc>
          <w:tcPr>
            <w:tcW w:w="686" w:type="pct"/>
          </w:tcPr>
          <w:p w14:paraId="6CFE064C" w14:textId="77777777" w:rsidR="00EB617B" w:rsidRPr="00E81B3C" w:rsidRDefault="00EB617B" w:rsidP="00EB617B">
            <w:pPr>
              <w:pStyle w:val="anslagstabell-hgerstlld"/>
              <w:rPr>
                <w:color w:val="FF0000"/>
              </w:rPr>
            </w:pPr>
          </w:p>
        </w:tc>
      </w:tr>
      <w:tr w:rsidR="00EB617B" w:rsidRPr="00E81B3C" w14:paraId="46E7939E" w14:textId="77777777" w:rsidTr="00757DE6">
        <w:trPr>
          <w:trHeight w:val="274"/>
        </w:trPr>
        <w:tc>
          <w:tcPr>
            <w:tcW w:w="1571" w:type="pct"/>
          </w:tcPr>
          <w:p w14:paraId="2744C536" w14:textId="77777777" w:rsidR="00EB617B" w:rsidRPr="00B44852" w:rsidRDefault="17021632" w:rsidP="00EB617B">
            <w:pPr>
              <w:pStyle w:val="anslagstabell"/>
            </w:pPr>
            <w:r>
              <w:t>Övrigt</w:t>
            </w:r>
          </w:p>
        </w:tc>
        <w:tc>
          <w:tcPr>
            <w:tcW w:w="686" w:type="pct"/>
          </w:tcPr>
          <w:p w14:paraId="144E6FCD" w14:textId="77777777" w:rsidR="00EB617B" w:rsidRPr="00E81B3C" w:rsidRDefault="00EB617B" w:rsidP="00EB617B">
            <w:pPr>
              <w:pStyle w:val="anslagstabell-hgerstlld"/>
              <w:rPr>
                <w:color w:val="FF0000"/>
              </w:rPr>
            </w:pPr>
          </w:p>
        </w:tc>
        <w:tc>
          <w:tcPr>
            <w:tcW w:w="686" w:type="pct"/>
          </w:tcPr>
          <w:p w14:paraId="2023D461" w14:textId="77777777" w:rsidR="00EB617B" w:rsidRPr="00E81B3C" w:rsidRDefault="00EB617B" w:rsidP="00EB617B">
            <w:pPr>
              <w:pStyle w:val="anslagstabell-hgerstlld"/>
              <w:rPr>
                <w:color w:val="FF0000"/>
              </w:rPr>
            </w:pPr>
          </w:p>
        </w:tc>
        <w:tc>
          <w:tcPr>
            <w:tcW w:w="686" w:type="pct"/>
          </w:tcPr>
          <w:p w14:paraId="19975CF7" w14:textId="77777777" w:rsidR="00EB617B" w:rsidRPr="00E81B3C" w:rsidRDefault="00EB617B" w:rsidP="00EB617B">
            <w:pPr>
              <w:pStyle w:val="anslagstabell-hgerstlld"/>
              <w:rPr>
                <w:color w:val="FF0000"/>
              </w:rPr>
            </w:pPr>
          </w:p>
        </w:tc>
        <w:tc>
          <w:tcPr>
            <w:tcW w:w="686" w:type="pct"/>
          </w:tcPr>
          <w:p w14:paraId="5ED62D65" w14:textId="77777777" w:rsidR="00EB617B" w:rsidRPr="00E81B3C" w:rsidRDefault="00EB617B" w:rsidP="00EB617B">
            <w:pPr>
              <w:pStyle w:val="anslagstabell-hgerstlld"/>
              <w:rPr>
                <w:color w:val="FF0000"/>
              </w:rPr>
            </w:pPr>
          </w:p>
        </w:tc>
        <w:tc>
          <w:tcPr>
            <w:tcW w:w="686" w:type="pct"/>
          </w:tcPr>
          <w:p w14:paraId="59986856" w14:textId="77777777" w:rsidR="00EB617B" w:rsidRPr="00E81B3C" w:rsidRDefault="00EB617B" w:rsidP="00EB617B">
            <w:pPr>
              <w:pStyle w:val="anslagstabell-hgerstlld"/>
              <w:rPr>
                <w:color w:val="FF0000"/>
              </w:rPr>
            </w:pPr>
          </w:p>
        </w:tc>
      </w:tr>
      <w:tr w:rsidR="00EB617B" w:rsidRPr="00E81B3C" w14:paraId="66609E35" w14:textId="77777777" w:rsidTr="00757DE6">
        <w:trPr>
          <w:trHeight w:val="417"/>
        </w:trPr>
        <w:tc>
          <w:tcPr>
            <w:tcW w:w="1571" w:type="pct"/>
            <w:tcBorders>
              <w:bottom w:val="single" w:sz="4" w:space="0" w:color="auto"/>
            </w:tcBorders>
          </w:tcPr>
          <w:p w14:paraId="3D16EF36" w14:textId="77777777" w:rsidR="00EB617B" w:rsidRPr="008244FA" w:rsidRDefault="17021632" w:rsidP="17021632">
            <w:pPr>
              <w:pStyle w:val="anslagstabell"/>
              <w:rPr>
                <w:b/>
                <w:bCs/>
              </w:rPr>
            </w:pPr>
            <w:r w:rsidRPr="17021632">
              <w:rPr>
                <w:b/>
                <w:bCs/>
              </w:rPr>
              <w:t xml:space="preserve">Ny prognos </w:t>
            </w:r>
          </w:p>
        </w:tc>
        <w:tc>
          <w:tcPr>
            <w:tcW w:w="686" w:type="pct"/>
            <w:tcBorders>
              <w:bottom w:val="single" w:sz="4" w:space="0" w:color="auto"/>
            </w:tcBorders>
          </w:tcPr>
          <w:p w14:paraId="33E3CA27" w14:textId="2E93DD2E" w:rsidR="00EB617B" w:rsidRPr="00E81B3C" w:rsidRDefault="17021632" w:rsidP="17021632">
            <w:pPr>
              <w:jc w:val="right"/>
              <w:rPr>
                <w:rFonts w:ascii="Arial" w:hAnsi="Arial" w:cs="Arial"/>
                <w:b/>
                <w:bCs/>
                <w:sz w:val="18"/>
                <w:szCs w:val="18"/>
                <w:lang w:eastAsia="en-US"/>
              </w:rPr>
            </w:pPr>
            <w:r w:rsidRPr="17021632">
              <w:rPr>
                <w:rFonts w:ascii="Arial" w:hAnsi="Arial" w:cs="Arial"/>
                <w:b/>
                <w:bCs/>
                <w:sz w:val="18"/>
                <w:szCs w:val="18"/>
                <w:lang w:eastAsia="en-US"/>
              </w:rPr>
              <w:t>10 382 480</w:t>
            </w:r>
          </w:p>
        </w:tc>
        <w:tc>
          <w:tcPr>
            <w:tcW w:w="686" w:type="pct"/>
            <w:tcBorders>
              <w:bottom w:val="single" w:sz="4" w:space="0" w:color="auto"/>
            </w:tcBorders>
          </w:tcPr>
          <w:p w14:paraId="44CF0459" w14:textId="64E4B0AC" w:rsidR="00EB617B" w:rsidRPr="00E81B3C" w:rsidRDefault="17021632" w:rsidP="17021632">
            <w:pPr>
              <w:jc w:val="right"/>
              <w:rPr>
                <w:rFonts w:ascii="Arial" w:hAnsi="Arial" w:cs="Arial"/>
                <w:b/>
                <w:bCs/>
                <w:sz w:val="18"/>
                <w:szCs w:val="18"/>
                <w:lang w:eastAsia="en-US"/>
              </w:rPr>
            </w:pPr>
            <w:r w:rsidRPr="17021632">
              <w:rPr>
                <w:rFonts w:ascii="Arial" w:hAnsi="Arial" w:cs="Arial"/>
                <w:b/>
                <w:bCs/>
                <w:sz w:val="18"/>
                <w:szCs w:val="18"/>
                <w:lang w:eastAsia="en-US"/>
              </w:rPr>
              <w:t>9 944 400</w:t>
            </w:r>
          </w:p>
        </w:tc>
        <w:tc>
          <w:tcPr>
            <w:tcW w:w="686" w:type="pct"/>
            <w:tcBorders>
              <w:bottom w:val="single" w:sz="4" w:space="0" w:color="auto"/>
            </w:tcBorders>
          </w:tcPr>
          <w:p w14:paraId="54E69D6D" w14:textId="3D7F9105" w:rsidR="00EB617B" w:rsidRPr="00E81B3C" w:rsidRDefault="17021632" w:rsidP="17021632">
            <w:pPr>
              <w:jc w:val="right"/>
              <w:rPr>
                <w:rFonts w:ascii="Arial" w:hAnsi="Arial" w:cs="Arial"/>
                <w:b/>
                <w:bCs/>
                <w:sz w:val="18"/>
                <w:szCs w:val="18"/>
                <w:lang w:eastAsia="en-US"/>
              </w:rPr>
            </w:pPr>
            <w:r w:rsidRPr="17021632">
              <w:rPr>
                <w:rFonts w:ascii="Arial" w:hAnsi="Arial" w:cs="Arial"/>
                <w:b/>
                <w:bCs/>
                <w:sz w:val="18"/>
                <w:szCs w:val="18"/>
                <w:lang w:eastAsia="en-US"/>
              </w:rPr>
              <w:t>9 307 700</w:t>
            </w:r>
          </w:p>
        </w:tc>
        <w:tc>
          <w:tcPr>
            <w:tcW w:w="686" w:type="pct"/>
            <w:tcBorders>
              <w:bottom w:val="single" w:sz="4" w:space="0" w:color="auto"/>
            </w:tcBorders>
          </w:tcPr>
          <w:p w14:paraId="2E32494C" w14:textId="324D9BE5" w:rsidR="00EB617B" w:rsidRPr="00E81B3C" w:rsidRDefault="17021632" w:rsidP="17021632">
            <w:pPr>
              <w:jc w:val="right"/>
              <w:rPr>
                <w:rFonts w:ascii="Arial" w:hAnsi="Arial" w:cs="Arial"/>
                <w:b/>
                <w:bCs/>
                <w:sz w:val="18"/>
                <w:szCs w:val="18"/>
                <w:lang w:eastAsia="en-US"/>
              </w:rPr>
            </w:pPr>
            <w:r w:rsidRPr="17021632">
              <w:rPr>
                <w:rFonts w:ascii="Arial" w:hAnsi="Arial" w:cs="Arial"/>
                <w:b/>
                <w:bCs/>
                <w:sz w:val="18"/>
                <w:szCs w:val="18"/>
                <w:lang w:eastAsia="en-US"/>
              </w:rPr>
              <w:t>8 741 700</w:t>
            </w:r>
          </w:p>
        </w:tc>
        <w:tc>
          <w:tcPr>
            <w:tcW w:w="686" w:type="pct"/>
            <w:tcBorders>
              <w:bottom w:val="single" w:sz="4" w:space="0" w:color="auto"/>
            </w:tcBorders>
          </w:tcPr>
          <w:p w14:paraId="5A32B542" w14:textId="0BA0B877" w:rsidR="00EB617B" w:rsidRPr="00E81B3C" w:rsidRDefault="17021632" w:rsidP="17021632">
            <w:pPr>
              <w:jc w:val="right"/>
              <w:rPr>
                <w:rFonts w:ascii="Arial" w:hAnsi="Arial" w:cs="Arial"/>
                <w:b/>
                <w:bCs/>
                <w:sz w:val="18"/>
                <w:szCs w:val="18"/>
                <w:lang w:eastAsia="en-US"/>
              </w:rPr>
            </w:pPr>
            <w:r w:rsidRPr="17021632">
              <w:rPr>
                <w:rFonts w:ascii="Arial" w:hAnsi="Arial" w:cs="Arial"/>
                <w:b/>
                <w:bCs/>
                <w:sz w:val="18"/>
                <w:szCs w:val="18"/>
                <w:lang w:eastAsia="en-US"/>
              </w:rPr>
              <w:t>8 206 800</w:t>
            </w:r>
          </w:p>
        </w:tc>
      </w:tr>
      <w:tr w:rsidR="00EB617B" w:rsidRPr="008244FA" w14:paraId="1FB1EE1D" w14:textId="77777777" w:rsidTr="00757DE6">
        <w:trPr>
          <w:trHeight w:val="274"/>
        </w:trPr>
        <w:tc>
          <w:tcPr>
            <w:tcW w:w="1571" w:type="pct"/>
            <w:tcBorders>
              <w:top w:val="single" w:sz="4" w:space="0" w:color="auto"/>
              <w:bottom w:val="single" w:sz="4" w:space="0" w:color="auto"/>
            </w:tcBorders>
          </w:tcPr>
          <w:p w14:paraId="23A2536A" w14:textId="77777777" w:rsidR="00EB617B" w:rsidRPr="008244FA" w:rsidRDefault="00EB617B" w:rsidP="00EB617B">
            <w:pPr>
              <w:pStyle w:val="anslagstabell"/>
              <w:rPr>
                <w:b/>
              </w:rPr>
            </w:pPr>
          </w:p>
        </w:tc>
        <w:tc>
          <w:tcPr>
            <w:tcW w:w="686" w:type="pct"/>
            <w:tcBorders>
              <w:top w:val="single" w:sz="4" w:space="0" w:color="auto"/>
              <w:bottom w:val="single" w:sz="4" w:space="0" w:color="auto"/>
            </w:tcBorders>
          </w:tcPr>
          <w:p w14:paraId="2566BC29" w14:textId="77777777" w:rsidR="00EB617B" w:rsidRPr="0091385C" w:rsidRDefault="00EB617B" w:rsidP="00EB617B">
            <w:pPr>
              <w:pStyle w:val="anslagstabell"/>
              <w:jc w:val="right"/>
              <w:rPr>
                <w:b/>
              </w:rPr>
            </w:pPr>
          </w:p>
        </w:tc>
        <w:tc>
          <w:tcPr>
            <w:tcW w:w="686" w:type="pct"/>
            <w:tcBorders>
              <w:top w:val="single" w:sz="4" w:space="0" w:color="auto"/>
              <w:bottom w:val="single" w:sz="4" w:space="0" w:color="auto"/>
            </w:tcBorders>
          </w:tcPr>
          <w:p w14:paraId="714D42A3" w14:textId="77777777" w:rsidR="00EB617B" w:rsidRPr="0091385C" w:rsidRDefault="00EB617B" w:rsidP="00EB617B">
            <w:pPr>
              <w:pStyle w:val="anslagstabell"/>
              <w:jc w:val="right"/>
              <w:rPr>
                <w:b/>
              </w:rPr>
            </w:pPr>
          </w:p>
        </w:tc>
        <w:tc>
          <w:tcPr>
            <w:tcW w:w="686" w:type="pct"/>
            <w:tcBorders>
              <w:top w:val="single" w:sz="4" w:space="0" w:color="auto"/>
              <w:bottom w:val="single" w:sz="4" w:space="0" w:color="auto"/>
            </w:tcBorders>
          </w:tcPr>
          <w:p w14:paraId="3C026DF0" w14:textId="77777777" w:rsidR="00EB617B" w:rsidRPr="0091385C" w:rsidRDefault="00EB617B" w:rsidP="00EB617B">
            <w:pPr>
              <w:pStyle w:val="anslagstabell"/>
              <w:jc w:val="right"/>
              <w:rPr>
                <w:b/>
              </w:rPr>
            </w:pPr>
          </w:p>
        </w:tc>
        <w:tc>
          <w:tcPr>
            <w:tcW w:w="686" w:type="pct"/>
            <w:tcBorders>
              <w:top w:val="single" w:sz="4" w:space="0" w:color="auto"/>
              <w:bottom w:val="single" w:sz="4" w:space="0" w:color="auto"/>
            </w:tcBorders>
          </w:tcPr>
          <w:p w14:paraId="44405A71" w14:textId="77777777" w:rsidR="00EB617B" w:rsidRPr="0091385C" w:rsidRDefault="00EB617B" w:rsidP="00EB617B">
            <w:pPr>
              <w:pStyle w:val="anslagstabell"/>
              <w:jc w:val="right"/>
              <w:rPr>
                <w:b/>
              </w:rPr>
            </w:pPr>
          </w:p>
        </w:tc>
        <w:tc>
          <w:tcPr>
            <w:tcW w:w="686" w:type="pct"/>
            <w:tcBorders>
              <w:top w:val="single" w:sz="4" w:space="0" w:color="auto"/>
              <w:bottom w:val="single" w:sz="4" w:space="0" w:color="auto"/>
            </w:tcBorders>
          </w:tcPr>
          <w:p w14:paraId="73DA7B1D" w14:textId="77777777" w:rsidR="00EB617B" w:rsidRPr="0091385C" w:rsidRDefault="00EB617B" w:rsidP="00EB617B">
            <w:pPr>
              <w:pStyle w:val="anslagstabell"/>
              <w:jc w:val="right"/>
              <w:rPr>
                <w:b/>
              </w:rPr>
            </w:pPr>
          </w:p>
        </w:tc>
      </w:tr>
      <w:tr w:rsidR="00EB617B" w:rsidRPr="00F935F7" w14:paraId="3B91DF5D" w14:textId="77777777" w:rsidTr="00757DE6">
        <w:trPr>
          <w:trHeight w:val="264"/>
        </w:trPr>
        <w:tc>
          <w:tcPr>
            <w:tcW w:w="1571" w:type="pct"/>
            <w:tcBorders>
              <w:top w:val="single" w:sz="4" w:space="0" w:color="auto"/>
            </w:tcBorders>
          </w:tcPr>
          <w:p w14:paraId="08089BA4" w14:textId="77777777" w:rsidR="00EB617B" w:rsidRPr="00F935F7" w:rsidRDefault="17021632" w:rsidP="00EB617B">
            <w:pPr>
              <w:pStyle w:val="anslagstabell"/>
            </w:pPr>
            <w:r>
              <w:t>Differens i 1000-tal kronor</w:t>
            </w:r>
          </w:p>
        </w:tc>
        <w:tc>
          <w:tcPr>
            <w:tcW w:w="686" w:type="pct"/>
            <w:tcBorders>
              <w:top w:val="single" w:sz="4" w:space="0" w:color="auto"/>
            </w:tcBorders>
          </w:tcPr>
          <w:p w14:paraId="4D479288" w14:textId="2D12B51E" w:rsidR="00EB617B" w:rsidRPr="001701F3" w:rsidRDefault="17021632" w:rsidP="00EB617B">
            <w:pPr>
              <w:pStyle w:val="anslagstabell-hgerstlld"/>
            </w:pPr>
            <w:r>
              <w:t>+13 100</w:t>
            </w:r>
          </w:p>
        </w:tc>
        <w:tc>
          <w:tcPr>
            <w:tcW w:w="686" w:type="pct"/>
            <w:tcBorders>
              <w:top w:val="single" w:sz="4" w:space="0" w:color="auto"/>
            </w:tcBorders>
          </w:tcPr>
          <w:p w14:paraId="4DCD4ED6" w14:textId="301C9E56" w:rsidR="00EB617B" w:rsidRPr="001701F3" w:rsidRDefault="17021632" w:rsidP="00EB617B">
            <w:pPr>
              <w:pStyle w:val="anslagstabell-hgerstlld"/>
            </w:pPr>
            <w:r>
              <w:t>+53 000</w:t>
            </w:r>
          </w:p>
        </w:tc>
        <w:tc>
          <w:tcPr>
            <w:tcW w:w="686" w:type="pct"/>
            <w:tcBorders>
              <w:top w:val="single" w:sz="4" w:space="0" w:color="auto"/>
            </w:tcBorders>
          </w:tcPr>
          <w:p w14:paraId="58564301" w14:textId="2A7CADE1" w:rsidR="00EB617B" w:rsidRPr="001701F3" w:rsidRDefault="17021632" w:rsidP="00EB617B">
            <w:pPr>
              <w:pStyle w:val="anslagstabell-hgerstlld"/>
            </w:pPr>
            <w:r>
              <w:t>+50 900</w:t>
            </w:r>
          </w:p>
        </w:tc>
        <w:tc>
          <w:tcPr>
            <w:tcW w:w="686" w:type="pct"/>
            <w:tcBorders>
              <w:top w:val="single" w:sz="4" w:space="0" w:color="auto"/>
            </w:tcBorders>
          </w:tcPr>
          <w:p w14:paraId="00556059" w14:textId="785BFEFA" w:rsidR="00EB617B" w:rsidRPr="001701F3" w:rsidRDefault="17021632" w:rsidP="00EB617B">
            <w:pPr>
              <w:pStyle w:val="anslagstabell-hgerstlld"/>
            </w:pPr>
            <w:r>
              <w:t>+58 500</w:t>
            </w:r>
          </w:p>
        </w:tc>
        <w:tc>
          <w:tcPr>
            <w:tcW w:w="686" w:type="pct"/>
            <w:tcBorders>
              <w:top w:val="single" w:sz="4" w:space="0" w:color="auto"/>
            </w:tcBorders>
          </w:tcPr>
          <w:p w14:paraId="665DE7C8" w14:textId="39E78801" w:rsidR="00EB617B" w:rsidRPr="001701F3" w:rsidRDefault="17021632" w:rsidP="00EB617B">
            <w:pPr>
              <w:pStyle w:val="anslagstabell-hgerstlld"/>
            </w:pPr>
            <w:r>
              <w:t>+48 400</w:t>
            </w:r>
          </w:p>
        </w:tc>
      </w:tr>
      <w:tr w:rsidR="00EB617B" w:rsidRPr="00F935F7" w14:paraId="241C58B9" w14:textId="77777777" w:rsidTr="00757DE6">
        <w:trPr>
          <w:trHeight w:val="274"/>
        </w:trPr>
        <w:tc>
          <w:tcPr>
            <w:tcW w:w="1571" w:type="pct"/>
            <w:tcBorders>
              <w:bottom w:val="single" w:sz="4" w:space="0" w:color="auto"/>
            </w:tcBorders>
          </w:tcPr>
          <w:p w14:paraId="6632D6BD" w14:textId="77777777" w:rsidR="00EB617B" w:rsidRPr="00F935F7" w:rsidRDefault="17021632" w:rsidP="00EB617B">
            <w:pPr>
              <w:pStyle w:val="anslagstabell"/>
              <w:keepNext w:val="0"/>
            </w:pPr>
            <w:r>
              <w:t>Differens i procent</w:t>
            </w:r>
          </w:p>
        </w:tc>
        <w:tc>
          <w:tcPr>
            <w:tcW w:w="686" w:type="pct"/>
            <w:tcBorders>
              <w:bottom w:val="single" w:sz="4" w:space="0" w:color="auto"/>
            </w:tcBorders>
          </w:tcPr>
          <w:p w14:paraId="4764F656" w14:textId="531ABEA6" w:rsidR="00EB617B" w:rsidRPr="001701F3" w:rsidRDefault="17021632" w:rsidP="00EB617B">
            <w:pPr>
              <w:pStyle w:val="anslagstabell-hgerstlld"/>
            </w:pPr>
            <w:r>
              <w:t>+0,1</w:t>
            </w:r>
          </w:p>
        </w:tc>
        <w:tc>
          <w:tcPr>
            <w:tcW w:w="686" w:type="pct"/>
            <w:tcBorders>
              <w:bottom w:val="single" w:sz="4" w:space="0" w:color="auto"/>
            </w:tcBorders>
          </w:tcPr>
          <w:p w14:paraId="074B2DBE" w14:textId="2D90B965" w:rsidR="00EB617B" w:rsidRPr="001701F3" w:rsidRDefault="17021632" w:rsidP="00EB617B">
            <w:pPr>
              <w:pStyle w:val="anslagstabell-hgerstlld"/>
            </w:pPr>
            <w:r>
              <w:t>+0,5</w:t>
            </w:r>
          </w:p>
        </w:tc>
        <w:tc>
          <w:tcPr>
            <w:tcW w:w="686" w:type="pct"/>
            <w:tcBorders>
              <w:bottom w:val="single" w:sz="4" w:space="0" w:color="auto"/>
            </w:tcBorders>
          </w:tcPr>
          <w:p w14:paraId="6A268619" w14:textId="71EF8EB8" w:rsidR="00EB617B" w:rsidRPr="001701F3" w:rsidRDefault="17021632" w:rsidP="00EB617B">
            <w:pPr>
              <w:pStyle w:val="anslagstabell-hgerstlld"/>
            </w:pPr>
            <w:r>
              <w:t>+0,5</w:t>
            </w:r>
          </w:p>
        </w:tc>
        <w:tc>
          <w:tcPr>
            <w:tcW w:w="686" w:type="pct"/>
            <w:tcBorders>
              <w:bottom w:val="single" w:sz="4" w:space="0" w:color="auto"/>
            </w:tcBorders>
          </w:tcPr>
          <w:p w14:paraId="62F35023" w14:textId="64213FB4" w:rsidR="00EB617B" w:rsidRPr="001701F3" w:rsidRDefault="17021632" w:rsidP="00EB617B">
            <w:pPr>
              <w:pStyle w:val="anslagstabell-hgerstlld"/>
            </w:pPr>
            <w:r>
              <w:t>+0,7</w:t>
            </w:r>
          </w:p>
        </w:tc>
        <w:tc>
          <w:tcPr>
            <w:tcW w:w="686" w:type="pct"/>
            <w:tcBorders>
              <w:bottom w:val="single" w:sz="4" w:space="0" w:color="auto"/>
            </w:tcBorders>
          </w:tcPr>
          <w:p w14:paraId="2B562D80" w14:textId="37B24A96" w:rsidR="00EB617B" w:rsidRPr="001701F3" w:rsidRDefault="17021632" w:rsidP="00EB617B">
            <w:pPr>
              <w:pStyle w:val="anslagstabell-hgerstlld"/>
            </w:pPr>
            <w:r>
              <w:t>+0,6</w:t>
            </w:r>
          </w:p>
        </w:tc>
      </w:tr>
    </w:tbl>
    <w:p w14:paraId="29F2BF8A" w14:textId="00E6CDDB" w:rsidR="001703C0" w:rsidRDefault="001703C0" w:rsidP="00D14B5D">
      <w:pPr>
        <w:keepNext/>
      </w:pPr>
      <w:bookmarkStart w:id="9" w:name="_Toc221685247"/>
    </w:p>
    <w:p w14:paraId="339D79E3" w14:textId="77777777" w:rsidR="002D4220" w:rsidRPr="00B44852" w:rsidRDefault="17021632" w:rsidP="002D4220">
      <w:pPr>
        <w:pStyle w:val="Rubrik4"/>
      </w:pPr>
      <w:r>
        <w:t>Ändrade makroekonomiska antaganden</w:t>
      </w:r>
    </w:p>
    <w:p w14:paraId="683AD22A" w14:textId="4D90B5FD" w:rsidR="002D4220" w:rsidRDefault="17021632" w:rsidP="17021632">
      <w:pPr>
        <w:rPr>
          <w:color w:val="000000" w:themeColor="text1"/>
        </w:rPr>
      </w:pPr>
      <w:r w:rsidRPr="17021632">
        <w:rPr>
          <w:color w:val="000000" w:themeColor="text1"/>
        </w:rPr>
        <w:t>De inkomstgrundade efterlevandepensionerna påverkas av inkomstindex. Garantipensionerna påverkas främst av prisbasbeloppet men indirekt också av inkomstindex (ju högre inkomstindex desto lägre garantipensioner). Inkomstindex har störst inverkan på utgiftsprognosen. För prognosen av omställningspension används en sammanvägning av timlöneökningen under flera år.</w:t>
      </w:r>
    </w:p>
    <w:p w14:paraId="43A27B02" w14:textId="4B55DC3C" w:rsidR="000A25F2" w:rsidRDefault="000A25F2" w:rsidP="002D4220">
      <w:pPr>
        <w:rPr>
          <w:color w:val="000000"/>
          <w:szCs w:val="27"/>
        </w:rPr>
      </w:pPr>
    </w:p>
    <w:p w14:paraId="37EEC1D7" w14:textId="0090C989" w:rsidR="000A25F2" w:rsidRDefault="17021632" w:rsidP="17021632">
      <w:pPr>
        <w:rPr>
          <w:color w:val="000000" w:themeColor="text1"/>
        </w:rPr>
      </w:pPr>
      <w:r w:rsidRPr="17021632">
        <w:rPr>
          <w:color w:val="000000" w:themeColor="text1"/>
        </w:rPr>
        <w:t>Prognosen av inkomstindex har sänkts med cirka en promille för 2021 och höjts med 0,16 och 0,14 procent för 2022 respektive 2023. Detta ökar utgifterna för 2022 och 2023.</w:t>
      </w:r>
    </w:p>
    <w:p w14:paraId="7C1C7882" w14:textId="6B48063D" w:rsidR="003676BB" w:rsidRDefault="003676BB" w:rsidP="002D4220">
      <w:pPr>
        <w:rPr>
          <w:color w:val="000000"/>
          <w:szCs w:val="27"/>
        </w:rPr>
      </w:pPr>
    </w:p>
    <w:p w14:paraId="45244B78" w14:textId="352B5F95" w:rsidR="003676BB" w:rsidRDefault="17021632" w:rsidP="17021632">
      <w:pPr>
        <w:rPr>
          <w:color w:val="000000" w:themeColor="text1"/>
        </w:rPr>
      </w:pPr>
      <w:r w:rsidRPr="17021632">
        <w:rPr>
          <w:color w:val="000000" w:themeColor="text1"/>
        </w:rPr>
        <w:t>Prognosen av timlöneökningen har höjts kraftigt för 2018 och 2019 med 0,6 respektive 1,1 procentenheter. Prognosen har även höjts för 2020, sänkts för 2021 och höjts för 2022 och 2023. Främst den kraftigare höjningen för 2018 och 2019 medför att utgifterna för omställningspension ökar med några miljoner över hela prognoshorisonten.</w:t>
      </w:r>
    </w:p>
    <w:p w14:paraId="248BBD91" w14:textId="1FF41DAC" w:rsidR="00311E42" w:rsidRDefault="00311E42" w:rsidP="002D4220">
      <w:pPr>
        <w:rPr>
          <w:color w:val="000000"/>
          <w:szCs w:val="27"/>
        </w:rPr>
      </w:pPr>
    </w:p>
    <w:p w14:paraId="73231996" w14:textId="22F9A963" w:rsidR="00311E42" w:rsidRDefault="17021632" w:rsidP="17021632">
      <w:pPr>
        <w:rPr>
          <w:color w:val="000000" w:themeColor="text1"/>
        </w:rPr>
      </w:pPr>
      <w:r w:rsidRPr="17021632">
        <w:rPr>
          <w:color w:val="000000" w:themeColor="text1"/>
        </w:rPr>
        <w:t>Prisbasbeloppet har höjts med 100 kronor för 2021 och 2022 vilket motsvarar en höjning på 0,2 procent. Detta har ökat utgifterna för garantipension något litet för dessa år. Eftersom utgifterna för garantipension som helhet är relativt små så ökar detta utgifterna med mindre än 1 miljon kronor.</w:t>
      </w:r>
    </w:p>
    <w:p w14:paraId="605EA547" w14:textId="77777777" w:rsidR="000A25F2" w:rsidRPr="000A25F2" w:rsidRDefault="000A25F2" w:rsidP="002D4220">
      <w:pPr>
        <w:rPr>
          <w:sz w:val="22"/>
        </w:rPr>
      </w:pPr>
    </w:p>
    <w:p w14:paraId="60AAE906" w14:textId="76C46A9C" w:rsidR="001703C0" w:rsidRPr="00B44852" w:rsidRDefault="17021632" w:rsidP="001703C0">
      <w:pPr>
        <w:pStyle w:val="Rubrik4"/>
      </w:pPr>
      <w:r>
        <w:t>Volym- och strukturförändringar</w:t>
      </w:r>
    </w:p>
    <w:p w14:paraId="4F52546E" w14:textId="1632D79E" w:rsidR="007952FF" w:rsidRDefault="17021632" w:rsidP="001703C0">
      <w:r>
        <w:t>Utfallet för 2019 blev högre än prognosen som lämnades i oktober. Detta förklaras främst av att antalet änkepensioner under året var högre än vad som prognosticerats och att utgifterna för omställningspensionerna var högre.</w:t>
      </w:r>
    </w:p>
    <w:p w14:paraId="378680F8" w14:textId="1030C2CA" w:rsidR="008146C4" w:rsidRDefault="008146C4" w:rsidP="001703C0"/>
    <w:p w14:paraId="367E01AD" w14:textId="62211D37" w:rsidR="009E33A4" w:rsidRDefault="17021632" w:rsidP="001703C0">
      <w:r>
        <w:t xml:space="preserve">I och med den nya helårsstatistiken för 2019 har antaganden kring dödlighet och medelbelopp uppdaterats. Dessa antaganden påverkar utgifterna över hela prognoshorisonten. </w:t>
      </w:r>
      <w:r w:rsidR="00BF77C4">
        <w:t>Dödstalen</w:t>
      </w:r>
      <w:r>
        <w:t xml:space="preserve"> </w:t>
      </w:r>
      <w:r w:rsidR="00E74778">
        <w:t xml:space="preserve">för 2019 </w:t>
      </w:r>
      <w:r>
        <w:t xml:space="preserve">var </w:t>
      </w:r>
      <w:r w:rsidR="00E74778">
        <w:t>lägre än vad som prognosticerats v</w:t>
      </w:r>
      <w:r>
        <w:t xml:space="preserve">ilket medför att 2020 </w:t>
      </w:r>
      <w:r w:rsidR="00E74778">
        <w:t xml:space="preserve">inleds </w:t>
      </w:r>
      <w:r>
        <w:t>med något fler änkepensioner. Genomsnittligt belopp var också något högre vid utgången av 2019 än tidigare beräknat. Till följd av detta höjs prognosen av änkepension över hela prognoshorisonten.</w:t>
      </w:r>
    </w:p>
    <w:p w14:paraId="729C9A33" w14:textId="6B8A27C7" w:rsidR="008146C4" w:rsidRDefault="008146C4" w:rsidP="001703C0"/>
    <w:p w14:paraId="6BD38556" w14:textId="2E150C8B" w:rsidR="00962401" w:rsidRDefault="17021632" w:rsidP="001703C0">
      <w:r>
        <w:t xml:space="preserve">Prognosen minskar utgifterna för omställningspensioner över hela prognoshorisonten. Störst minskning faller under prognoshorisontens inledande år. Detta följer av uppdaterade antaganden kring utvecklingen av utbetalda belopp, antal förmånstagare och </w:t>
      </w:r>
      <w:r w:rsidR="00EE442B">
        <w:t>utvecklingen</w:t>
      </w:r>
      <w:r>
        <w:t xml:space="preserve"> av </w:t>
      </w:r>
      <w:r w:rsidR="00D65027">
        <w:t xml:space="preserve">andelen </w:t>
      </w:r>
      <w:r>
        <w:t>retroaktiva utbetalningar.</w:t>
      </w:r>
    </w:p>
    <w:p w14:paraId="65211E38" w14:textId="77777777" w:rsidR="005C58EB" w:rsidRPr="00976CD1" w:rsidRDefault="002A1C0C" w:rsidP="005C58EB">
      <w:pPr>
        <w:pStyle w:val="anslagspostrubrik"/>
      </w:pPr>
      <w:r>
        <w:lastRenderedPageBreak/>
        <w:t>1</w:t>
      </w:r>
      <w:r w:rsidR="005C58EB">
        <w:t>1</w:t>
      </w:r>
      <w:r>
        <w:t>.1</w:t>
      </w:r>
      <w:r w:rsidR="005C58EB">
        <w:t>:3</w:t>
      </w:r>
      <w:r w:rsidR="005C58EB">
        <w:tab/>
        <w:t>Bostadstillägg till pensionärer</w:t>
      </w:r>
      <w:bookmarkEnd w:id="9"/>
    </w:p>
    <w:p w14:paraId="42913531" w14:textId="2FA2626A" w:rsidR="005C58EB" w:rsidRDefault="17021632" w:rsidP="005C58EB">
      <w:pPr>
        <w:keepNext/>
      </w:pPr>
      <w:r>
        <w:t>I tabellen nedan görs en jämförelse med föregående prognos som lämnades till regeringen i oktober 2019.</w:t>
      </w:r>
    </w:p>
    <w:p w14:paraId="57B27363" w14:textId="6A555D55" w:rsidR="00A62E49" w:rsidRDefault="00A62E49" w:rsidP="005C58EB">
      <w:pPr>
        <w:keepNext/>
      </w:pPr>
    </w:p>
    <w:p w14:paraId="45E5E941" w14:textId="77777777" w:rsidR="00D14B5D" w:rsidRPr="00A01D93" w:rsidRDefault="17021632" w:rsidP="00D14B5D">
      <w:pPr>
        <w:keepNext/>
      </w:pPr>
      <w:r w:rsidRPr="17021632">
        <w:rPr>
          <w:rStyle w:val="versikt-fet"/>
        </w:rPr>
        <w:t>Prognosjämförelse.</w:t>
      </w:r>
      <w:r>
        <w:t xml:space="preserve"> Beloppen anges i 1000-tal kronor </w:t>
      </w:r>
    </w:p>
    <w:tbl>
      <w:tblPr>
        <w:tblW w:w="5264" w:type="pct"/>
        <w:tblCellMar>
          <w:left w:w="70" w:type="dxa"/>
          <w:right w:w="70" w:type="dxa"/>
        </w:tblCellMar>
        <w:tblLook w:val="0000" w:firstRow="0" w:lastRow="0" w:firstColumn="0" w:lastColumn="0" w:noHBand="0" w:noVBand="0"/>
      </w:tblPr>
      <w:tblGrid>
        <w:gridCol w:w="2035"/>
        <w:gridCol w:w="1144"/>
        <w:gridCol w:w="1145"/>
        <w:gridCol w:w="1145"/>
        <w:gridCol w:w="1145"/>
        <w:gridCol w:w="1145"/>
      </w:tblGrid>
      <w:tr w:rsidR="00D14B5D" w:rsidRPr="00B44852" w14:paraId="1B944A5A" w14:textId="77777777" w:rsidTr="007B2D68">
        <w:trPr>
          <w:trHeight w:val="270"/>
        </w:trPr>
        <w:tc>
          <w:tcPr>
            <w:tcW w:w="1311" w:type="pct"/>
            <w:tcBorders>
              <w:top w:val="single" w:sz="4" w:space="0" w:color="auto"/>
              <w:bottom w:val="single" w:sz="4" w:space="0" w:color="auto"/>
            </w:tcBorders>
          </w:tcPr>
          <w:p w14:paraId="20322A66" w14:textId="77777777" w:rsidR="00D14B5D" w:rsidRPr="00B44852" w:rsidRDefault="00D14B5D" w:rsidP="00EB617B">
            <w:pPr>
              <w:pStyle w:val="anslagstabell"/>
              <w:jc w:val="center"/>
              <w:rPr>
                <w:b/>
              </w:rPr>
            </w:pPr>
          </w:p>
        </w:tc>
        <w:tc>
          <w:tcPr>
            <w:tcW w:w="737" w:type="pct"/>
            <w:tcBorders>
              <w:top w:val="single" w:sz="4" w:space="0" w:color="auto"/>
              <w:bottom w:val="single" w:sz="4" w:space="0" w:color="auto"/>
            </w:tcBorders>
          </w:tcPr>
          <w:p w14:paraId="3F913EFB" w14:textId="77777777" w:rsidR="00D14B5D" w:rsidRPr="00B44852" w:rsidRDefault="17021632" w:rsidP="17021632">
            <w:pPr>
              <w:pStyle w:val="anslagstabell"/>
              <w:jc w:val="center"/>
              <w:rPr>
                <w:b/>
                <w:bCs/>
              </w:rPr>
            </w:pPr>
            <w:r w:rsidRPr="17021632">
              <w:rPr>
                <w:b/>
                <w:bCs/>
              </w:rPr>
              <w:t>2019</w:t>
            </w:r>
          </w:p>
        </w:tc>
        <w:tc>
          <w:tcPr>
            <w:tcW w:w="738" w:type="pct"/>
            <w:tcBorders>
              <w:top w:val="single" w:sz="4" w:space="0" w:color="auto"/>
              <w:bottom w:val="single" w:sz="4" w:space="0" w:color="auto"/>
            </w:tcBorders>
          </w:tcPr>
          <w:p w14:paraId="4229F84D" w14:textId="77777777" w:rsidR="00D14B5D" w:rsidRDefault="17021632" w:rsidP="17021632">
            <w:pPr>
              <w:pStyle w:val="anslagstabell"/>
              <w:jc w:val="center"/>
              <w:rPr>
                <w:b/>
                <w:bCs/>
              </w:rPr>
            </w:pPr>
            <w:r w:rsidRPr="17021632">
              <w:rPr>
                <w:b/>
                <w:bCs/>
              </w:rPr>
              <w:t>2020</w:t>
            </w:r>
          </w:p>
        </w:tc>
        <w:tc>
          <w:tcPr>
            <w:tcW w:w="738" w:type="pct"/>
            <w:tcBorders>
              <w:top w:val="single" w:sz="4" w:space="0" w:color="auto"/>
              <w:bottom w:val="single" w:sz="4" w:space="0" w:color="auto"/>
            </w:tcBorders>
          </w:tcPr>
          <w:p w14:paraId="5F2788FF" w14:textId="77777777" w:rsidR="00D14B5D" w:rsidRDefault="17021632" w:rsidP="17021632">
            <w:pPr>
              <w:pStyle w:val="anslagstabell"/>
              <w:jc w:val="center"/>
              <w:rPr>
                <w:b/>
                <w:bCs/>
              </w:rPr>
            </w:pPr>
            <w:r w:rsidRPr="17021632">
              <w:rPr>
                <w:b/>
                <w:bCs/>
              </w:rPr>
              <w:t>2021</w:t>
            </w:r>
          </w:p>
        </w:tc>
        <w:tc>
          <w:tcPr>
            <w:tcW w:w="738" w:type="pct"/>
            <w:tcBorders>
              <w:top w:val="single" w:sz="4" w:space="0" w:color="auto"/>
              <w:bottom w:val="single" w:sz="4" w:space="0" w:color="auto"/>
            </w:tcBorders>
          </w:tcPr>
          <w:p w14:paraId="0ABF957A" w14:textId="77777777" w:rsidR="00D14B5D" w:rsidRDefault="17021632" w:rsidP="17021632">
            <w:pPr>
              <w:pStyle w:val="anslagstabell"/>
              <w:jc w:val="center"/>
              <w:rPr>
                <w:b/>
                <w:bCs/>
              </w:rPr>
            </w:pPr>
            <w:r w:rsidRPr="17021632">
              <w:rPr>
                <w:b/>
                <w:bCs/>
              </w:rPr>
              <w:t>2022</w:t>
            </w:r>
          </w:p>
        </w:tc>
        <w:tc>
          <w:tcPr>
            <w:tcW w:w="738" w:type="pct"/>
            <w:tcBorders>
              <w:top w:val="single" w:sz="4" w:space="0" w:color="auto"/>
              <w:bottom w:val="single" w:sz="4" w:space="0" w:color="auto"/>
            </w:tcBorders>
          </w:tcPr>
          <w:p w14:paraId="72D61FF1" w14:textId="77777777" w:rsidR="00D14B5D" w:rsidRDefault="17021632" w:rsidP="17021632">
            <w:pPr>
              <w:pStyle w:val="anslagstabell"/>
              <w:jc w:val="center"/>
              <w:rPr>
                <w:b/>
                <w:bCs/>
              </w:rPr>
            </w:pPr>
            <w:r w:rsidRPr="17021632">
              <w:rPr>
                <w:b/>
                <w:bCs/>
              </w:rPr>
              <w:t>2023</w:t>
            </w:r>
          </w:p>
        </w:tc>
      </w:tr>
      <w:tr w:rsidR="00EB617B" w:rsidRPr="00E81B3C" w14:paraId="0528B43C" w14:textId="77777777" w:rsidTr="007B2D68">
        <w:trPr>
          <w:trHeight w:val="471"/>
        </w:trPr>
        <w:tc>
          <w:tcPr>
            <w:tcW w:w="1311" w:type="pct"/>
            <w:tcBorders>
              <w:top w:val="single" w:sz="4" w:space="0" w:color="auto"/>
            </w:tcBorders>
          </w:tcPr>
          <w:p w14:paraId="22F52475" w14:textId="77777777" w:rsidR="00EB617B" w:rsidRPr="008244FA" w:rsidRDefault="17021632" w:rsidP="17021632">
            <w:pPr>
              <w:pStyle w:val="anslagstabell"/>
              <w:rPr>
                <w:b/>
                <w:bCs/>
              </w:rPr>
            </w:pPr>
            <w:r w:rsidRPr="17021632">
              <w:rPr>
                <w:b/>
                <w:bCs/>
              </w:rPr>
              <w:t>Föregående prognos</w:t>
            </w:r>
          </w:p>
        </w:tc>
        <w:tc>
          <w:tcPr>
            <w:tcW w:w="737" w:type="pct"/>
            <w:tcBorders>
              <w:top w:val="single" w:sz="4" w:space="0" w:color="auto"/>
            </w:tcBorders>
          </w:tcPr>
          <w:p w14:paraId="3184541A" w14:textId="52E9E296" w:rsidR="00EB617B" w:rsidRPr="001D0290" w:rsidRDefault="17021632" w:rsidP="17021632">
            <w:pPr>
              <w:pStyle w:val="anslagstabell-hgerstlld"/>
              <w:rPr>
                <w:b/>
                <w:bCs/>
              </w:rPr>
            </w:pPr>
            <w:r w:rsidRPr="17021632">
              <w:rPr>
                <w:b/>
                <w:bCs/>
              </w:rPr>
              <w:t>9 124 100</w:t>
            </w:r>
          </w:p>
        </w:tc>
        <w:tc>
          <w:tcPr>
            <w:tcW w:w="738" w:type="pct"/>
            <w:tcBorders>
              <w:top w:val="single" w:sz="4" w:space="0" w:color="auto"/>
            </w:tcBorders>
          </w:tcPr>
          <w:p w14:paraId="3C9B3ABE" w14:textId="71A67FF0" w:rsidR="00EB617B" w:rsidRPr="001D0290" w:rsidRDefault="17021632" w:rsidP="17021632">
            <w:pPr>
              <w:pStyle w:val="anslagstabell-hgerstlld"/>
              <w:rPr>
                <w:b/>
                <w:bCs/>
              </w:rPr>
            </w:pPr>
            <w:r w:rsidRPr="17021632">
              <w:rPr>
                <w:b/>
                <w:bCs/>
              </w:rPr>
              <w:t>9 835 400</w:t>
            </w:r>
          </w:p>
        </w:tc>
        <w:tc>
          <w:tcPr>
            <w:tcW w:w="738" w:type="pct"/>
            <w:tcBorders>
              <w:top w:val="single" w:sz="4" w:space="0" w:color="auto"/>
            </w:tcBorders>
          </w:tcPr>
          <w:p w14:paraId="2A2967F0" w14:textId="1B870629" w:rsidR="00EB617B" w:rsidRPr="001D0290" w:rsidRDefault="17021632" w:rsidP="17021632">
            <w:pPr>
              <w:pStyle w:val="anslagstabell-hgerstlld"/>
              <w:rPr>
                <w:b/>
                <w:bCs/>
              </w:rPr>
            </w:pPr>
            <w:r w:rsidRPr="17021632">
              <w:rPr>
                <w:b/>
                <w:bCs/>
              </w:rPr>
              <w:t>10 003 800</w:t>
            </w:r>
          </w:p>
        </w:tc>
        <w:tc>
          <w:tcPr>
            <w:tcW w:w="738" w:type="pct"/>
            <w:tcBorders>
              <w:top w:val="single" w:sz="4" w:space="0" w:color="auto"/>
            </w:tcBorders>
          </w:tcPr>
          <w:p w14:paraId="11851EA8" w14:textId="260422FF" w:rsidR="00EB617B" w:rsidRPr="001D0290" w:rsidRDefault="17021632" w:rsidP="17021632">
            <w:pPr>
              <w:pStyle w:val="anslagstabell-hgerstlld"/>
              <w:rPr>
                <w:b/>
                <w:bCs/>
              </w:rPr>
            </w:pPr>
            <w:r w:rsidRPr="17021632">
              <w:rPr>
                <w:b/>
                <w:bCs/>
              </w:rPr>
              <w:t>10 178 800</w:t>
            </w:r>
          </w:p>
        </w:tc>
        <w:tc>
          <w:tcPr>
            <w:tcW w:w="738" w:type="pct"/>
            <w:tcBorders>
              <w:top w:val="single" w:sz="4" w:space="0" w:color="auto"/>
            </w:tcBorders>
          </w:tcPr>
          <w:p w14:paraId="3AF5DCE9" w14:textId="07BF4AC9" w:rsidR="00EB617B" w:rsidRPr="001D0290" w:rsidRDefault="17021632" w:rsidP="17021632">
            <w:pPr>
              <w:pStyle w:val="anslagstabell-hgerstlld"/>
              <w:rPr>
                <w:b/>
                <w:bCs/>
              </w:rPr>
            </w:pPr>
            <w:r w:rsidRPr="17021632">
              <w:rPr>
                <w:b/>
                <w:bCs/>
              </w:rPr>
              <w:t>10 427 500</w:t>
            </w:r>
          </w:p>
        </w:tc>
      </w:tr>
      <w:tr w:rsidR="00EB617B" w:rsidRPr="00E81B3C" w14:paraId="17CCB1BC" w14:textId="77777777" w:rsidTr="007B2D68">
        <w:trPr>
          <w:trHeight w:val="471"/>
        </w:trPr>
        <w:tc>
          <w:tcPr>
            <w:tcW w:w="1311" w:type="pct"/>
          </w:tcPr>
          <w:p w14:paraId="05971042" w14:textId="77777777" w:rsidR="00EB617B" w:rsidRPr="00B44852" w:rsidRDefault="17021632" w:rsidP="00EB617B">
            <w:pPr>
              <w:pStyle w:val="anslagstabell"/>
            </w:pPr>
            <w:r>
              <w:t>Överföring till/från andra anslag</w:t>
            </w:r>
          </w:p>
        </w:tc>
        <w:tc>
          <w:tcPr>
            <w:tcW w:w="737" w:type="pct"/>
          </w:tcPr>
          <w:p w14:paraId="0F5758C5" w14:textId="77777777" w:rsidR="00EB617B" w:rsidRPr="00E81B3C" w:rsidRDefault="00EB617B" w:rsidP="00EB617B">
            <w:pPr>
              <w:pStyle w:val="anslagstabell-hgerstlld"/>
              <w:rPr>
                <w:color w:val="FF0000"/>
              </w:rPr>
            </w:pPr>
          </w:p>
        </w:tc>
        <w:tc>
          <w:tcPr>
            <w:tcW w:w="738" w:type="pct"/>
          </w:tcPr>
          <w:p w14:paraId="24F5382A" w14:textId="77777777" w:rsidR="00EB617B" w:rsidRPr="00E81B3C" w:rsidRDefault="00EB617B" w:rsidP="00EB617B">
            <w:pPr>
              <w:pStyle w:val="anslagstabell-hgerstlld"/>
              <w:rPr>
                <w:color w:val="FF0000"/>
              </w:rPr>
            </w:pPr>
          </w:p>
        </w:tc>
        <w:tc>
          <w:tcPr>
            <w:tcW w:w="738" w:type="pct"/>
          </w:tcPr>
          <w:p w14:paraId="6E785861" w14:textId="77777777" w:rsidR="00EB617B" w:rsidRPr="00E81B3C" w:rsidRDefault="00EB617B" w:rsidP="00EB617B">
            <w:pPr>
              <w:pStyle w:val="anslagstabell-hgerstlld"/>
              <w:rPr>
                <w:color w:val="FF0000"/>
              </w:rPr>
            </w:pPr>
          </w:p>
        </w:tc>
        <w:tc>
          <w:tcPr>
            <w:tcW w:w="738" w:type="pct"/>
          </w:tcPr>
          <w:p w14:paraId="19E37920" w14:textId="77777777" w:rsidR="00EB617B" w:rsidRPr="00E81B3C" w:rsidRDefault="00EB617B" w:rsidP="00EB617B">
            <w:pPr>
              <w:pStyle w:val="anslagstabell-hgerstlld"/>
              <w:rPr>
                <w:color w:val="FF0000"/>
              </w:rPr>
            </w:pPr>
          </w:p>
        </w:tc>
        <w:tc>
          <w:tcPr>
            <w:tcW w:w="738" w:type="pct"/>
          </w:tcPr>
          <w:p w14:paraId="46AA8C14" w14:textId="77777777" w:rsidR="00EB617B" w:rsidRPr="00E81B3C" w:rsidRDefault="00EB617B" w:rsidP="00EB617B">
            <w:pPr>
              <w:pStyle w:val="anslagstabell-hgerstlld"/>
              <w:rPr>
                <w:color w:val="FF0000"/>
              </w:rPr>
            </w:pPr>
          </w:p>
        </w:tc>
      </w:tr>
      <w:tr w:rsidR="00EB617B" w:rsidRPr="00E81B3C" w14:paraId="2BAF081A" w14:textId="77777777" w:rsidTr="007B2D68">
        <w:trPr>
          <w:trHeight w:val="691"/>
        </w:trPr>
        <w:tc>
          <w:tcPr>
            <w:tcW w:w="1311" w:type="pct"/>
          </w:tcPr>
          <w:p w14:paraId="22CB444D" w14:textId="77777777" w:rsidR="00EB617B" w:rsidRPr="00B44852" w:rsidRDefault="17021632" w:rsidP="00EB617B">
            <w:pPr>
              <w:pStyle w:val="anslagstabell"/>
            </w:pPr>
            <w:r>
              <w:t>Ändrade makroekonomiska antaganden</w:t>
            </w:r>
          </w:p>
        </w:tc>
        <w:tc>
          <w:tcPr>
            <w:tcW w:w="737" w:type="pct"/>
          </w:tcPr>
          <w:p w14:paraId="6B0810FE" w14:textId="77777777" w:rsidR="00EB617B" w:rsidRPr="00E81B3C" w:rsidRDefault="00EB617B" w:rsidP="00EB617B">
            <w:pPr>
              <w:pStyle w:val="anslagstabell-hgerstlld"/>
              <w:rPr>
                <w:color w:val="FF0000"/>
              </w:rPr>
            </w:pPr>
          </w:p>
        </w:tc>
        <w:tc>
          <w:tcPr>
            <w:tcW w:w="738" w:type="pct"/>
          </w:tcPr>
          <w:p w14:paraId="2F80C401" w14:textId="11A28FE6" w:rsidR="00EB617B" w:rsidRPr="00E81B3C" w:rsidRDefault="17021632" w:rsidP="00EB617B">
            <w:pPr>
              <w:pStyle w:val="anslagstabell-hgerstlld"/>
            </w:pPr>
            <w:r>
              <w:t>+16 800</w:t>
            </w:r>
          </w:p>
        </w:tc>
        <w:tc>
          <w:tcPr>
            <w:tcW w:w="738" w:type="pct"/>
          </w:tcPr>
          <w:p w14:paraId="79EC2B35" w14:textId="432DD507" w:rsidR="00EB617B" w:rsidRPr="00E81B3C" w:rsidRDefault="17021632" w:rsidP="00EB617B">
            <w:pPr>
              <w:pStyle w:val="anslagstabell-hgerstlld"/>
            </w:pPr>
            <w:r>
              <w:t>–15 400</w:t>
            </w:r>
          </w:p>
        </w:tc>
        <w:tc>
          <w:tcPr>
            <w:tcW w:w="738" w:type="pct"/>
          </w:tcPr>
          <w:p w14:paraId="74429014" w14:textId="0C35726D" w:rsidR="00EB617B" w:rsidRPr="00E81B3C" w:rsidRDefault="17021632" w:rsidP="00EB617B">
            <w:pPr>
              <w:pStyle w:val="anslagstabell-hgerstlld"/>
            </w:pPr>
            <w:r>
              <w:t>–32 900</w:t>
            </w:r>
          </w:p>
        </w:tc>
        <w:tc>
          <w:tcPr>
            <w:tcW w:w="738" w:type="pct"/>
          </w:tcPr>
          <w:p w14:paraId="389E4AF9" w14:textId="7797A233" w:rsidR="00EB617B" w:rsidRPr="00E81B3C" w:rsidRDefault="17021632" w:rsidP="00EB617B">
            <w:pPr>
              <w:pStyle w:val="anslagstabell-hgerstlld"/>
            </w:pPr>
            <w:r>
              <w:t>–33 500</w:t>
            </w:r>
          </w:p>
        </w:tc>
      </w:tr>
      <w:tr w:rsidR="00EB617B" w:rsidRPr="00E81B3C" w14:paraId="614AA750" w14:textId="77777777" w:rsidTr="007B2D68">
        <w:trPr>
          <w:trHeight w:val="471"/>
        </w:trPr>
        <w:tc>
          <w:tcPr>
            <w:tcW w:w="1311" w:type="pct"/>
          </w:tcPr>
          <w:p w14:paraId="74D69885" w14:textId="77777777" w:rsidR="00EB617B" w:rsidRPr="00B44852" w:rsidRDefault="17021632" w:rsidP="00EB617B">
            <w:pPr>
              <w:pStyle w:val="anslagstabell"/>
            </w:pPr>
            <w:r>
              <w:t>Volym- och strukturförändringar</w:t>
            </w:r>
          </w:p>
        </w:tc>
        <w:tc>
          <w:tcPr>
            <w:tcW w:w="737" w:type="pct"/>
          </w:tcPr>
          <w:p w14:paraId="67A626AB" w14:textId="564978F7" w:rsidR="00EB617B" w:rsidRPr="001701F3" w:rsidRDefault="17021632" w:rsidP="00791306">
            <w:pPr>
              <w:pStyle w:val="anslagstabell-hgerstlld"/>
            </w:pPr>
            <w:r>
              <w:t>+71 455</w:t>
            </w:r>
          </w:p>
        </w:tc>
        <w:tc>
          <w:tcPr>
            <w:tcW w:w="738" w:type="pct"/>
          </w:tcPr>
          <w:p w14:paraId="6C264DCD" w14:textId="72927BE3" w:rsidR="00EB617B" w:rsidRPr="001701F3" w:rsidRDefault="17021632" w:rsidP="00EB617B">
            <w:pPr>
              <w:pStyle w:val="anslagstabell-hgerstlld"/>
            </w:pPr>
            <w:r>
              <w:t>+221 700</w:t>
            </w:r>
          </w:p>
        </w:tc>
        <w:tc>
          <w:tcPr>
            <w:tcW w:w="738" w:type="pct"/>
          </w:tcPr>
          <w:p w14:paraId="1483AFF4" w14:textId="6C48E026" w:rsidR="00EB617B" w:rsidRPr="001701F3" w:rsidRDefault="17021632" w:rsidP="00EB617B">
            <w:pPr>
              <w:pStyle w:val="anslagstabell-hgerstlld"/>
            </w:pPr>
            <w:r>
              <w:t>+169 000</w:t>
            </w:r>
          </w:p>
        </w:tc>
        <w:tc>
          <w:tcPr>
            <w:tcW w:w="738" w:type="pct"/>
          </w:tcPr>
          <w:p w14:paraId="1B01EE7F" w14:textId="158A1931" w:rsidR="00EB617B" w:rsidRPr="001701F3" w:rsidRDefault="17021632" w:rsidP="00EB617B">
            <w:pPr>
              <w:pStyle w:val="anslagstabell-hgerstlld"/>
            </w:pPr>
            <w:r>
              <w:t>+174 400</w:t>
            </w:r>
          </w:p>
        </w:tc>
        <w:tc>
          <w:tcPr>
            <w:tcW w:w="738" w:type="pct"/>
          </w:tcPr>
          <w:p w14:paraId="34274339" w14:textId="6BF3CFB3" w:rsidR="00EB617B" w:rsidRPr="001701F3" w:rsidRDefault="17021632" w:rsidP="00EB617B">
            <w:pPr>
              <w:pStyle w:val="anslagstabell-hgerstlld"/>
            </w:pPr>
            <w:r>
              <w:t>+183 400</w:t>
            </w:r>
          </w:p>
        </w:tc>
      </w:tr>
      <w:tr w:rsidR="00EB617B" w:rsidRPr="00E81B3C" w14:paraId="6C6962BA" w14:textId="77777777" w:rsidTr="007B2D68">
        <w:trPr>
          <w:trHeight w:val="270"/>
        </w:trPr>
        <w:tc>
          <w:tcPr>
            <w:tcW w:w="1311" w:type="pct"/>
          </w:tcPr>
          <w:p w14:paraId="08019E74" w14:textId="77777777" w:rsidR="00EB617B" w:rsidRPr="00B44852" w:rsidRDefault="17021632" w:rsidP="00EB617B">
            <w:pPr>
              <w:pStyle w:val="anslagstabell"/>
            </w:pPr>
            <w:r>
              <w:t>Ny regeländring</w:t>
            </w:r>
          </w:p>
        </w:tc>
        <w:tc>
          <w:tcPr>
            <w:tcW w:w="737" w:type="pct"/>
          </w:tcPr>
          <w:p w14:paraId="41287B51" w14:textId="77777777" w:rsidR="00EB617B" w:rsidRPr="00E81B3C" w:rsidRDefault="00EB617B" w:rsidP="00EB617B">
            <w:pPr>
              <w:pStyle w:val="anslagstabell-hgerstlld"/>
              <w:rPr>
                <w:color w:val="FF0000"/>
              </w:rPr>
            </w:pPr>
          </w:p>
        </w:tc>
        <w:tc>
          <w:tcPr>
            <w:tcW w:w="738" w:type="pct"/>
          </w:tcPr>
          <w:p w14:paraId="490FAE96" w14:textId="77777777" w:rsidR="00EB617B" w:rsidRPr="00E81B3C" w:rsidRDefault="00EB617B" w:rsidP="00EB617B">
            <w:pPr>
              <w:pStyle w:val="anslagstabell-hgerstlld"/>
              <w:rPr>
                <w:color w:val="FF0000"/>
              </w:rPr>
            </w:pPr>
          </w:p>
        </w:tc>
        <w:tc>
          <w:tcPr>
            <w:tcW w:w="738" w:type="pct"/>
          </w:tcPr>
          <w:p w14:paraId="79A99A5D" w14:textId="77777777" w:rsidR="00EB617B" w:rsidRPr="00E81B3C" w:rsidRDefault="00EB617B" w:rsidP="00EB617B">
            <w:pPr>
              <w:pStyle w:val="anslagstabell-hgerstlld"/>
              <w:rPr>
                <w:color w:val="FF0000"/>
              </w:rPr>
            </w:pPr>
          </w:p>
        </w:tc>
        <w:tc>
          <w:tcPr>
            <w:tcW w:w="738" w:type="pct"/>
          </w:tcPr>
          <w:p w14:paraId="7A93D4DF" w14:textId="77777777" w:rsidR="00EB617B" w:rsidRPr="00E81B3C" w:rsidRDefault="00EB617B" w:rsidP="00EB617B">
            <w:pPr>
              <w:pStyle w:val="anslagstabell-hgerstlld"/>
              <w:rPr>
                <w:color w:val="FF0000"/>
              </w:rPr>
            </w:pPr>
          </w:p>
        </w:tc>
        <w:tc>
          <w:tcPr>
            <w:tcW w:w="738" w:type="pct"/>
          </w:tcPr>
          <w:p w14:paraId="145A6F38" w14:textId="77777777" w:rsidR="00EB617B" w:rsidRPr="00E81B3C" w:rsidRDefault="00EB617B" w:rsidP="00EB617B">
            <w:pPr>
              <w:pStyle w:val="anslagstabell-hgerstlld"/>
              <w:rPr>
                <w:color w:val="FF0000"/>
              </w:rPr>
            </w:pPr>
          </w:p>
        </w:tc>
      </w:tr>
      <w:tr w:rsidR="00EB617B" w:rsidRPr="00E81B3C" w14:paraId="37BC50C0" w14:textId="77777777" w:rsidTr="007B2D68">
        <w:trPr>
          <w:trHeight w:val="260"/>
        </w:trPr>
        <w:tc>
          <w:tcPr>
            <w:tcW w:w="1311" w:type="pct"/>
          </w:tcPr>
          <w:p w14:paraId="21FD59EE" w14:textId="77777777" w:rsidR="00EB617B" w:rsidRPr="00B44852" w:rsidRDefault="17021632" w:rsidP="00EB617B">
            <w:pPr>
              <w:pStyle w:val="anslagstabell"/>
            </w:pPr>
            <w:r>
              <w:t>Övrigt</w:t>
            </w:r>
          </w:p>
        </w:tc>
        <w:tc>
          <w:tcPr>
            <w:tcW w:w="737" w:type="pct"/>
          </w:tcPr>
          <w:p w14:paraId="0F6FC9B8" w14:textId="77777777" w:rsidR="00EB617B" w:rsidRPr="00E81B3C" w:rsidRDefault="00EB617B" w:rsidP="00EB617B">
            <w:pPr>
              <w:pStyle w:val="anslagstabell-hgerstlld"/>
              <w:rPr>
                <w:color w:val="FF0000"/>
              </w:rPr>
            </w:pPr>
          </w:p>
        </w:tc>
        <w:tc>
          <w:tcPr>
            <w:tcW w:w="738" w:type="pct"/>
          </w:tcPr>
          <w:p w14:paraId="4E9A4B8B" w14:textId="77777777" w:rsidR="00EB617B" w:rsidRPr="00E81B3C" w:rsidRDefault="00EB617B" w:rsidP="00EB617B">
            <w:pPr>
              <w:pStyle w:val="anslagstabell-hgerstlld"/>
              <w:rPr>
                <w:color w:val="FF0000"/>
              </w:rPr>
            </w:pPr>
          </w:p>
        </w:tc>
        <w:tc>
          <w:tcPr>
            <w:tcW w:w="738" w:type="pct"/>
          </w:tcPr>
          <w:p w14:paraId="1050FA13" w14:textId="77777777" w:rsidR="00EB617B" w:rsidRPr="00E81B3C" w:rsidRDefault="00EB617B" w:rsidP="00EB617B">
            <w:pPr>
              <w:pStyle w:val="anslagstabell-hgerstlld"/>
              <w:rPr>
                <w:color w:val="FF0000"/>
              </w:rPr>
            </w:pPr>
          </w:p>
        </w:tc>
        <w:tc>
          <w:tcPr>
            <w:tcW w:w="738" w:type="pct"/>
          </w:tcPr>
          <w:p w14:paraId="0D9677EF" w14:textId="77777777" w:rsidR="00EB617B" w:rsidRPr="00E81B3C" w:rsidRDefault="00EB617B" w:rsidP="00EB617B">
            <w:pPr>
              <w:pStyle w:val="anslagstabell-hgerstlld"/>
              <w:rPr>
                <w:color w:val="FF0000"/>
              </w:rPr>
            </w:pPr>
          </w:p>
        </w:tc>
        <w:tc>
          <w:tcPr>
            <w:tcW w:w="738" w:type="pct"/>
          </w:tcPr>
          <w:p w14:paraId="6083B4CF" w14:textId="77777777" w:rsidR="00EB617B" w:rsidRPr="00E81B3C" w:rsidRDefault="00EB617B" w:rsidP="00EB617B">
            <w:pPr>
              <w:pStyle w:val="anslagstabell-hgerstlld"/>
              <w:rPr>
                <w:color w:val="FF0000"/>
              </w:rPr>
            </w:pPr>
          </w:p>
        </w:tc>
      </w:tr>
      <w:tr w:rsidR="00EB617B" w:rsidRPr="00E81B3C" w14:paraId="4C494006" w14:textId="77777777" w:rsidTr="007B2D68">
        <w:trPr>
          <w:trHeight w:val="420"/>
        </w:trPr>
        <w:tc>
          <w:tcPr>
            <w:tcW w:w="1311" w:type="pct"/>
            <w:tcBorders>
              <w:bottom w:val="single" w:sz="4" w:space="0" w:color="auto"/>
            </w:tcBorders>
          </w:tcPr>
          <w:p w14:paraId="4E72B0A3" w14:textId="77777777" w:rsidR="00EB617B" w:rsidRPr="008244FA" w:rsidRDefault="17021632" w:rsidP="17021632">
            <w:pPr>
              <w:pStyle w:val="anslagstabell"/>
              <w:rPr>
                <w:b/>
                <w:bCs/>
              </w:rPr>
            </w:pPr>
            <w:r w:rsidRPr="17021632">
              <w:rPr>
                <w:b/>
                <w:bCs/>
              </w:rPr>
              <w:t xml:space="preserve">Ny prognos </w:t>
            </w:r>
          </w:p>
        </w:tc>
        <w:tc>
          <w:tcPr>
            <w:tcW w:w="737" w:type="pct"/>
            <w:tcBorders>
              <w:bottom w:val="single" w:sz="4" w:space="0" w:color="auto"/>
            </w:tcBorders>
          </w:tcPr>
          <w:p w14:paraId="20EF43B8" w14:textId="3038DB68" w:rsidR="00EB617B" w:rsidRPr="00E81B3C" w:rsidRDefault="17021632" w:rsidP="17021632">
            <w:pPr>
              <w:jc w:val="right"/>
              <w:rPr>
                <w:rFonts w:ascii="Arial" w:hAnsi="Arial" w:cs="Arial"/>
                <w:b/>
                <w:bCs/>
                <w:sz w:val="18"/>
                <w:szCs w:val="18"/>
                <w:lang w:eastAsia="en-US"/>
              </w:rPr>
            </w:pPr>
            <w:r w:rsidRPr="17021632">
              <w:rPr>
                <w:rFonts w:ascii="Arial" w:hAnsi="Arial" w:cs="Arial"/>
                <w:b/>
                <w:bCs/>
                <w:sz w:val="18"/>
                <w:szCs w:val="18"/>
                <w:lang w:eastAsia="en-US"/>
              </w:rPr>
              <w:t>9 195 555</w:t>
            </w:r>
          </w:p>
        </w:tc>
        <w:tc>
          <w:tcPr>
            <w:tcW w:w="738" w:type="pct"/>
            <w:tcBorders>
              <w:bottom w:val="single" w:sz="4" w:space="0" w:color="auto"/>
            </w:tcBorders>
          </w:tcPr>
          <w:p w14:paraId="1605AFE8" w14:textId="2FFA7E56" w:rsidR="00EB617B" w:rsidRPr="00E81B3C" w:rsidRDefault="17021632" w:rsidP="17021632">
            <w:pPr>
              <w:jc w:val="right"/>
              <w:rPr>
                <w:rFonts w:ascii="Arial" w:hAnsi="Arial" w:cs="Arial"/>
                <w:b/>
                <w:bCs/>
                <w:sz w:val="18"/>
                <w:szCs w:val="18"/>
                <w:lang w:eastAsia="en-US"/>
              </w:rPr>
            </w:pPr>
            <w:r w:rsidRPr="17021632">
              <w:rPr>
                <w:rFonts w:ascii="Arial" w:hAnsi="Arial" w:cs="Arial"/>
                <w:b/>
                <w:bCs/>
                <w:sz w:val="18"/>
                <w:szCs w:val="18"/>
                <w:lang w:eastAsia="en-US"/>
              </w:rPr>
              <w:t>10 073 900</w:t>
            </w:r>
          </w:p>
        </w:tc>
        <w:tc>
          <w:tcPr>
            <w:tcW w:w="738" w:type="pct"/>
            <w:tcBorders>
              <w:bottom w:val="single" w:sz="4" w:space="0" w:color="auto"/>
            </w:tcBorders>
          </w:tcPr>
          <w:p w14:paraId="733A0463" w14:textId="0BF7F14C" w:rsidR="00EB617B" w:rsidRPr="00E81B3C" w:rsidRDefault="17021632" w:rsidP="17021632">
            <w:pPr>
              <w:jc w:val="right"/>
              <w:rPr>
                <w:rFonts w:ascii="Arial" w:hAnsi="Arial" w:cs="Arial"/>
                <w:b/>
                <w:bCs/>
                <w:sz w:val="18"/>
                <w:szCs w:val="18"/>
                <w:lang w:eastAsia="en-US"/>
              </w:rPr>
            </w:pPr>
            <w:r w:rsidRPr="17021632">
              <w:rPr>
                <w:rFonts w:ascii="Arial" w:hAnsi="Arial" w:cs="Arial"/>
                <w:b/>
                <w:bCs/>
                <w:sz w:val="18"/>
                <w:szCs w:val="18"/>
                <w:lang w:eastAsia="en-US"/>
              </w:rPr>
              <w:t>10 157 400</w:t>
            </w:r>
          </w:p>
        </w:tc>
        <w:tc>
          <w:tcPr>
            <w:tcW w:w="738" w:type="pct"/>
            <w:tcBorders>
              <w:bottom w:val="single" w:sz="4" w:space="0" w:color="auto"/>
            </w:tcBorders>
          </w:tcPr>
          <w:p w14:paraId="13C73125" w14:textId="276D8DB6" w:rsidR="00EB617B" w:rsidRPr="00E81B3C" w:rsidRDefault="17021632" w:rsidP="17021632">
            <w:pPr>
              <w:jc w:val="right"/>
              <w:rPr>
                <w:rFonts w:ascii="Arial" w:hAnsi="Arial" w:cs="Arial"/>
                <w:b/>
                <w:bCs/>
                <w:sz w:val="18"/>
                <w:szCs w:val="18"/>
                <w:lang w:eastAsia="en-US"/>
              </w:rPr>
            </w:pPr>
            <w:r w:rsidRPr="17021632">
              <w:rPr>
                <w:rFonts w:ascii="Arial" w:hAnsi="Arial" w:cs="Arial"/>
                <w:b/>
                <w:bCs/>
                <w:sz w:val="18"/>
                <w:szCs w:val="18"/>
                <w:lang w:eastAsia="en-US"/>
              </w:rPr>
              <w:t>10 320 300</w:t>
            </w:r>
          </w:p>
        </w:tc>
        <w:tc>
          <w:tcPr>
            <w:tcW w:w="738" w:type="pct"/>
            <w:tcBorders>
              <w:bottom w:val="single" w:sz="4" w:space="0" w:color="auto"/>
            </w:tcBorders>
          </w:tcPr>
          <w:p w14:paraId="5BB51090" w14:textId="39093FFD" w:rsidR="00EB617B" w:rsidRPr="00E81B3C" w:rsidRDefault="17021632" w:rsidP="17021632">
            <w:pPr>
              <w:jc w:val="right"/>
              <w:rPr>
                <w:rFonts w:ascii="Arial" w:hAnsi="Arial" w:cs="Arial"/>
                <w:b/>
                <w:bCs/>
                <w:sz w:val="18"/>
                <w:szCs w:val="18"/>
                <w:lang w:eastAsia="en-US"/>
              </w:rPr>
            </w:pPr>
            <w:r w:rsidRPr="17021632">
              <w:rPr>
                <w:rFonts w:ascii="Arial" w:hAnsi="Arial" w:cs="Arial"/>
                <w:b/>
                <w:bCs/>
                <w:sz w:val="18"/>
                <w:szCs w:val="18"/>
                <w:lang w:eastAsia="en-US"/>
              </w:rPr>
              <w:t>10 577 400</w:t>
            </w:r>
          </w:p>
        </w:tc>
      </w:tr>
      <w:tr w:rsidR="00EB617B" w:rsidRPr="008244FA" w14:paraId="5D2832D5" w14:textId="77777777" w:rsidTr="007B2D68">
        <w:trPr>
          <w:trHeight w:val="260"/>
        </w:trPr>
        <w:tc>
          <w:tcPr>
            <w:tcW w:w="1311" w:type="pct"/>
            <w:tcBorders>
              <w:top w:val="single" w:sz="4" w:space="0" w:color="auto"/>
              <w:bottom w:val="single" w:sz="4" w:space="0" w:color="auto"/>
            </w:tcBorders>
          </w:tcPr>
          <w:p w14:paraId="312A0C9C" w14:textId="77777777" w:rsidR="00EB617B" w:rsidRPr="008244FA" w:rsidRDefault="00EB617B" w:rsidP="00EB617B">
            <w:pPr>
              <w:pStyle w:val="anslagstabell"/>
              <w:rPr>
                <w:b/>
              </w:rPr>
            </w:pPr>
          </w:p>
        </w:tc>
        <w:tc>
          <w:tcPr>
            <w:tcW w:w="737" w:type="pct"/>
            <w:tcBorders>
              <w:top w:val="single" w:sz="4" w:space="0" w:color="auto"/>
              <w:bottom w:val="single" w:sz="4" w:space="0" w:color="auto"/>
            </w:tcBorders>
          </w:tcPr>
          <w:p w14:paraId="35327BC3" w14:textId="77777777" w:rsidR="00EB617B" w:rsidRPr="0091385C" w:rsidRDefault="00EB617B" w:rsidP="00EB617B">
            <w:pPr>
              <w:pStyle w:val="anslagstabell"/>
              <w:jc w:val="right"/>
              <w:rPr>
                <w:b/>
              </w:rPr>
            </w:pPr>
          </w:p>
        </w:tc>
        <w:tc>
          <w:tcPr>
            <w:tcW w:w="738" w:type="pct"/>
            <w:tcBorders>
              <w:top w:val="single" w:sz="4" w:space="0" w:color="auto"/>
              <w:bottom w:val="single" w:sz="4" w:space="0" w:color="auto"/>
            </w:tcBorders>
          </w:tcPr>
          <w:p w14:paraId="6CC2BF6E" w14:textId="77777777" w:rsidR="00EB617B" w:rsidRPr="0091385C" w:rsidRDefault="00EB617B" w:rsidP="00EB617B">
            <w:pPr>
              <w:pStyle w:val="anslagstabell"/>
              <w:jc w:val="right"/>
              <w:rPr>
                <w:b/>
              </w:rPr>
            </w:pPr>
          </w:p>
        </w:tc>
        <w:tc>
          <w:tcPr>
            <w:tcW w:w="738" w:type="pct"/>
            <w:tcBorders>
              <w:top w:val="single" w:sz="4" w:space="0" w:color="auto"/>
              <w:bottom w:val="single" w:sz="4" w:space="0" w:color="auto"/>
            </w:tcBorders>
          </w:tcPr>
          <w:p w14:paraId="0636C5C4" w14:textId="77777777" w:rsidR="00EB617B" w:rsidRPr="0091385C" w:rsidRDefault="00EB617B" w:rsidP="00EB617B">
            <w:pPr>
              <w:pStyle w:val="anslagstabell"/>
              <w:jc w:val="right"/>
              <w:rPr>
                <w:b/>
              </w:rPr>
            </w:pPr>
          </w:p>
        </w:tc>
        <w:tc>
          <w:tcPr>
            <w:tcW w:w="738" w:type="pct"/>
            <w:tcBorders>
              <w:top w:val="single" w:sz="4" w:space="0" w:color="auto"/>
              <w:bottom w:val="single" w:sz="4" w:space="0" w:color="auto"/>
            </w:tcBorders>
          </w:tcPr>
          <w:p w14:paraId="7E4DABC5" w14:textId="77777777" w:rsidR="00EB617B" w:rsidRPr="0091385C" w:rsidRDefault="00EB617B" w:rsidP="00EB617B">
            <w:pPr>
              <w:pStyle w:val="anslagstabell"/>
              <w:jc w:val="right"/>
              <w:rPr>
                <w:b/>
              </w:rPr>
            </w:pPr>
          </w:p>
        </w:tc>
        <w:tc>
          <w:tcPr>
            <w:tcW w:w="738" w:type="pct"/>
            <w:tcBorders>
              <w:top w:val="single" w:sz="4" w:space="0" w:color="auto"/>
              <w:bottom w:val="single" w:sz="4" w:space="0" w:color="auto"/>
            </w:tcBorders>
          </w:tcPr>
          <w:p w14:paraId="04C38DEB" w14:textId="77777777" w:rsidR="00EB617B" w:rsidRPr="0091385C" w:rsidRDefault="00EB617B" w:rsidP="00EB617B">
            <w:pPr>
              <w:pStyle w:val="anslagstabell"/>
              <w:jc w:val="right"/>
              <w:rPr>
                <w:b/>
              </w:rPr>
            </w:pPr>
          </w:p>
        </w:tc>
      </w:tr>
      <w:tr w:rsidR="00EB617B" w:rsidRPr="00F935F7" w14:paraId="330A2DD4" w14:textId="77777777" w:rsidTr="007B2D68">
        <w:trPr>
          <w:trHeight w:val="481"/>
        </w:trPr>
        <w:tc>
          <w:tcPr>
            <w:tcW w:w="1311" w:type="pct"/>
            <w:tcBorders>
              <w:top w:val="single" w:sz="4" w:space="0" w:color="auto"/>
            </w:tcBorders>
          </w:tcPr>
          <w:p w14:paraId="6A32F3A3" w14:textId="77777777" w:rsidR="00EB617B" w:rsidRPr="00F935F7" w:rsidRDefault="17021632" w:rsidP="00EB617B">
            <w:pPr>
              <w:pStyle w:val="anslagstabell"/>
            </w:pPr>
            <w:r>
              <w:t>Differens i 1000-tal kronor</w:t>
            </w:r>
          </w:p>
        </w:tc>
        <w:tc>
          <w:tcPr>
            <w:tcW w:w="737" w:type="pct"/>
            <w:tcBorders>
              <w:top w:val="single" w:sz="4" w:space="0" w:color="auto"/>
            </w:tcBorders>
          </w:tcPr>
          <w:p w14:paraId="3FB9A163" w14:textId="4B737321" w:rsidR="00EB617B" w:rsidRPr="001701F3" w:rsidRDefault="17021632" w:rsidP="00791306">
            <w:pPr>
              <w:pStyle w:val="anslagstabell-hgerstlld"/>
            </w:pPr>
            <w:r>
              <w:t>+71 455</w:t>
            </w:r>
          </w:p>
        </w:tc>
        <w:tc>
          <w:tcPr>
            <w:tcW w:w="738" w:type="pct"/>
            <w:tcBorders>
              <w:top w:val="single" w:sz="4" w:space="0" w:color="auto"/>
            </w:tcBorders>
          </w:tcPr>
          <w:p w14:paraId="4F711F64" w14:textId="4F7B675D" w:rsidR="00EB617B" w:rsidRPr="001701F3" w:rsidRDefault="17021632" w:rsidP="00EB617B">
            <w:pPr>
              <w:pStyle w:val="anslagstabell-hgerstlld"/>
            </w:pPr>
            <w:r>
              <w:t>+238 500</w:t>
            </w:r>
          </w:p>
        </w:tc>
        <w:tc>
          <w:tcPr>
            <w:tcW w:w="738" w:type="pct"/>
            <w:tcBorders>
              <w:top w:val="single" w:sz="4" w:space="0" w:color="auto"/>
            </w:tcBorders>
          </w:tcPr>
          <w:p w14:paraId="41CE23A8" w14:textId="4FE63052" w:rsidR="00EB617B" w:rsidRPr="001701F3" w:rsidRDefault="17021632" w:rsidP="00EB617B">
            <w:pPr>
              <w:pStyle w:val="anslagstabell-hgerstlld"/>
            </w:pPr>
            <w:r>
              <w:t>+153 600</w:t>
            </w:r>
          </w:p>
        </w:tc>
        <w:tc>
          <w:tcPr>
            <w:tcW w:w="738" w:type="pct"/>
            <w:tcBorders>
              <w:top w:val="single" w:sz="4" w:space="0" w:color="auto"/>
            </w:tcBorders>
          </w:tcPr>
          <w:p w14:paraId="1C3AC631" w14:textId="4AE9FCAD" w:rsidR="00EB617B" w:rsidRPr="001701F3" w:rsidRDefault="17021632" w:rsidP="00EB617B">
            <w:pPr>
              <w:pStyle w:val="anslagstabell-hgerstlld"/>
            </w:pPr>
            <w:r>
              <w:t>+141 500</w:t>
            </w:r>
          </w:p>
        </w:tc>
        <w:tc>
          <w:tcPr>
            <w:tcW w:w="738" w:type="pct"/>
            <w:tcBorders>
              <w:top w:val="single" w:sz="4" w:space="0" w:color="auto"/>
            </w:tcBorders>
          </w:tcPr>
          <w:p w14:paraId="15D1F755" w14:textId="68992253" w:rsidR="00EB617B" w:rsidRPr="001701F3" w:rsidRDefault="17021632" w:rsidP="00EB617B">
            <w:pPr>
              <w:pStyle w:val="anslagstabell-hgerstlld"/>
            </w:pPr>
            <w:r>
              <w:t>+149 900</w:t>
            </w:r>
          </w:p>
        </w:tc>
      </w:tr>
      <w:tr w:rsidR="00EB617B" w:rsidRPr="00F935F7" w14:paraId="1AAC1B7C" w14:textId="77777777" w:rsidTr="007B2D68">
        <w:trPr>
          <w:trHeight w:val="270"/>
        </w:trPr>
        <w:tc>
          <w:tcPr>
            <w:tcW w:w="1311" w:type="pct"/>
            <w:tcBorders>
              <w:bottom w:val="single" w:sz="4" w:space="0" w:color="auto"/>
            </w:tcBorders>
          </w:tcPr>
          <w:p w14:paraId="288CEF77" w14:textId="77777777" w:rsidR="00EB617B" w:rsidRPr="00F935F7" w:rsidRDefault="17021632" w:rsidP="00EB617B">
            <w:pPr>
              <w:pStyle w:val="anslagstabell"/>
              <w:keepNext w:val="0"/>
            </w:pPr>
            <w:r>
              <w:t>Differens i procent</w:t>
            </w:r>
          </w:p>
        </w:tc>
        <w:tc>
          <w:tcPr>
            <w:tcW w:w="737" w:type="pct"/>
            <w:tcBorders>
              <w:bottom w:val="single" w:sz="4" w:space="0" w:color="auto"/>
            </w:tcBorders>
          </w:tcPr>
          <w:p w14:paraId="41CB6CB7" w14:textId="5098BB1C" w:rsidR="00EB617B" w:rsidRPr="001701F3" w:rsidRDefault="17021632" w:rsidP="00EB617B">
            <w:pPr>
              <w:pStyle w:val="anslagstabell-hgerstlld"/>
            </w:pPr>
            <w:r>
              <w:t>+0,8</w:t>
            </w:r>
          </w:p>
        </w:tc>
        <w:tc>
          <w:tcPr>
            <w:tcW w:w="738" w:type="pct"/>
            <w:tcBorders>
              <w:bottom w:val="single" w:sz="4" w:space="0" w:color="auto"/>
            </w:tcBorders>
          </w:tcPr>
          <w:p w14:paraId="34168312" w14:textId="1440360B" w:rsidR="00EB617B" w:rsidRPr="001701F3" w:rsidRDefault="17021632" w:rsidP="00EB617B">
            <w:pPr>
              <w:pStyle w:val="anslagstabell-hgerstlld"/>
            </w:pPr>
            <w:r>
              <w:t>+2,4</w:t>
            </w:r>
          </w:p>
        </w:tc>
        <w:tc>
          <w:tcPr>
            <w:tcW w:w="738" w:type="pct"/>
            <w:tcBorders>
              <w:bottom w:val="single" w:sz="4" w:space="0" w:color="auto"/>
            </w:tcBorders>
          </w:tcPr>
          <w:p w14:paraId="5EAF142B" w14:textId="164DED30" w:rsidR="00EB617B" w:rsidRPr="001701F3" w:rsidRDefault="17021632" w:rsidP="00EB617B">
            <w:pPr>
              <w:pStyle w:val="anslagstabell-hgerstlld"/>
            </w:pPr>
            <w:r>
              <w:t>+1,5</w:t>
            </w:r>
          </w:p>
        </w:tc>
        <w:tc>
          <w:tcPr>
            <w:tcW w:w="738" w:type="pct"/>
            <w:tcBorders>
              <w:bottom w:val="single" w:sz="4" w:space="0" w:color="auto"/>
            </w:tcBorders>
          </w:tcPr>
          <w:p w14:paraId="7DA58C29" w14:textId="06CD6422" w:rsidR="00EB617B" w:rsidRPr="001701F3" w:rsidRDefault="17021632" w:rsidP="00EB617B">
            <w:pPr>
              <w:pStyle w:val="anslagstabell-hgerstlld"/>
            </w:pPr>
            <w:r>
              <w:t>+1,4</w:t>
            </w:r>
          </w:p>
        </w:tc>
        <w:tc>
          <w:tcPr>
            <w:tcW w:w="738" w:type="pct"/>
            <w:tcBorders>
              <w:bottom w:val="single" w:sz="4" w:space="0" w:color="auto"/>
            </w:tcBorders>
          </w:tcPr>
          <w:p w14:paraId="52FEF93B" w14:textId="6C059CB2" w:rsidR="00EB617B" w:rsidRPr="001701F3" w:rsidRDefault="17021632" w:rsidP="00EB617B">
            <w:pPr>
              <w:pStyle w:val="anslagstabell-hgerstlld"/>
            </w:pPr>
            <w:r>
              <w:t>+1,4</w:t>
            </w:r>
          </w:p>
        </w:tc>
      </w:tr>
    </w:tbl>
    <w:p w14:paraId="55B8E0DF" w14:textId="3BDEF50B" w:rsidR="00892539" w:rsidRDefault="00892539" w:rsidP="00D14B5D">
      <w:pPr>
        <w:keepNext/>
        <w:rPr>
          <w:snapToGrid w:val="0"/>
        </w:rPr>
      </w:pPr>
    </w:p>
    <w:p w14:paraId="564D8619" w14:textId="77777777" w:rsidR="00B725D9" w:rsidRPr="00B44852" w:rsidRDefault="17021632" w:rsidP="00B725D9">
      <w:pPr>
        <w:pStyle w:val="Rubrik4"/>
      </w:pPr>
      <w:r>
        <w:t>Ändrade makroekonomiska antaganden</w:t>
      </w:r>
    </w:p>
    <w:p w14:paraId="292DD941" w14:textId="1E81F26D" w:rsidR="00B725D9" w:rsidRDefault="00B725D9" w:rsidP="00B725D9">
      <w:pPr>
        <w:rPr>
          <w:snapToGrid w:val="0"/>
        </w:rPr>
      </w:pPr>
      <w:r>
        <w:rPr>
          <w:snapToGrid w:val="0"/>
        </w:rPr>
        <w:t xml:space="preserve">Utgifterna för bostadstillägg påverkas av inkomstindex/balansindex, prisbasbelopp och boendekostnadsutvecklingen. </w:t>
      </w:r>
    </w:p>
    <w:p w14:paraId="7A3DF864" w14:textId="620D93CF" w:rsidR="00B725D9" w:rsidRDefault="00B725D9" w:rsidP="00B725D9"/>
    <w:p w14:paraId="48FFD983" w14:textId="77777777" w:rsidR="00C704FE" w:rsidRDefault="00C704FE" w:rsidP="00C704FE">
      <w:r>
        <w:rPr>
          <w:snapToGrid w:val="0"/>
        </w:rPr>
        <w:t>Konjunkturinstitutets prognos för förändring av boende</w:t>
      </w:r>
      <w:r>
        <w:rPr>
          <w:snapToGrid w:val="0"/>
        </w:rPr>
        <w:softHyphen/>
        <w:t>kostnadsindex avse</w:t>
      </w:r>
      <w:r>
        <w:rPr>
          <w:snapToGrid w:val="0"/>
        </w:rPr>
        <w:softHyphen/>
        <w:t>ende bostads- och hyresrätter är höjd för 2020 jämfört med prognosen i föregående anslagsuppföljning. Det har haft en höjande effekt på utgiftsprognosen för 2020</w:t>
      </w:r>
      <w:r w:rsidRPr="7B589441">
        <w:t xml:space="preserve">. </w:t>
      </w:r>
      <w:r>
        <w:rPr>
          <w:snapToGrid w:val="0"/>
        </w:rPr>
        <w:t>För år 2021 är prognosen för förändring av boende</w:t>
      </w:r>
      <w:r>
        <w:rPr>
          <w:snapToGrid w:val="0"/>
        </w:rPr>
        <w:softHyphen/>
        <w:t>kostnadsindex avse</w:t>
      </w:r>
      <w:r>
        <w:rPr>
          <w:snapToGrid w:val="0"/>
        </w:rPr>
        <w:softHyphen/>
        <w:t>ende bostads- och hyresrätter sänkt jämfört med prognosen i föregående anslagsuppföljning. Det har haft en sänkande effekt på utgiftsprognosen för åren 2021–2023.</w:t>
      </w:r>
    </w:p>
    <w:p w14:paraId="238CB359" w14:textId="77777777" w:rsidR="00C704FE" w:rsidRDefault="00C704FE" w:rsidP="00B725D9"/>
    <w:p w14:paraId="5EF4567F" w14:textId="1B2FC816" w:rsidR="00B725D9" w:rsidRDefault="00B725D9" w:rsidP="00B725D9">
      <w:pPr>
        <w:rPr>
          <w:snapToGrid w:val="0"/>
        </w:rPr>
      </w:pPr>
      <w:r>
        <w:rPr>
          <w:snapToGrid w:val="0"/>
        </w:rPr>
        <w:t>Prognosen för inkomstindex har höjts för åren 202</w:t>
      </w:r>
      <w:r w:rsidR="00FF1004">
        <w:rPr>
          <w:snapToGrid w:val="0"/>
        </w:rPr>
        <w:t>2</w:t>
      </w:r>
      <w:r>
        <w:t>–</w:t>
      </w:r>
      <w:r>
        <w:rPr>
          <w:snapToGrid w:val="0"/>
        </w:rPr>
        <w:t>202</w:t>
      </w:r>
      <w:r w:rsidR="00FF1004">
        <w:rPr>
          <w:snapToGrid w:val="0"/>
        </w:rPr>
        <w:t>3</w:t>
      </w:r>
      <w:r>
        <w:rPr>
          <w:snapToGrid w:val="0"/>
        </w:rPr>
        <w:t xml:space="preserve"> jämfört med prognosen i föregående anslagsuppföljning. Prognosen för den inkomst som tas upp vid beräkningen av BTP har av det skälet höjts för åren 202</w:t>
      </w:r>
      <w:r w:rsidR="00FF1004">
        <w:rPr>
          <w:snapToGrid w:val="0"/>
        </w:rPr>
        <w:t>2</w:t>
      </w:r>
      <w:r>
        <w:t>–</w:t>
      </w:r>
      <w:r>
        <w:rPr>
          <w:snapToGrid w:val="0"/>
        </w:rPr>
        <w:t>202</w:t>
      </w:r>
      <w:r w:rsidR="00FF1004">
        <w:rPr>
          <w:snapToGrid w:val="0"/>
        </w:rPr>
        <w:t>3</w:t>
      </w:r>
      <w:r>
        <w:rPr>
          <w:snapToGrid w:val="0"/>
        </w:rPr>
        <w:t>. Detta har haft en sänkande effekt på utgiftsprognosen för bostadstillägg för åren 202</w:t>
      </w:r>
      <w:r w:rsidR="00FF1004">
        <w:rPr>
          <w:snapToGrid w:val="0"/>
        </w:rPr>
        <w:t>2</w:t>
      </w:r>
      <w:r>
        <w:t>–</w:t>
      </w:r>
      <w:r>
        <w:rPr>
          <w:snapToGrid w:val="0"/>
        </w:rPr>
        <w:t>202</w:t>
      </w:r>
      <w:r w:rsidR="00FF1004">
        <w:rPr>
          <w:snapToGrid w:val="0"/>
        </w:rPr>
        <w:t>3</w:t>
      </w:r>
      <w:r w:rsidRPr="7B589441">
        <w:t xml:space="preserve">. </w:t>
      </w:r>
    </w:p>
    <w:p w14:paraId="1BCAD250" w14:textId="311BE431" w:rsidR="00530CC8" w:rsidRPr="00B44852" w:rsidRDefault="17021632" w:rsidP="00530CC8">
      <w:pPr>
        <w:pStyle w:val="Rubrik4"/>
      </w:pPr>
      <w:r>
        <w:t>Volym- och strukturförändringar</w:t>
      </w:r>
    </w:p>
    <w:p w14:paraId="4EF30062" w14:textId="4FD8FDC1" w:rsidR="00530CC8" w:rsidRDefault="17021632" w:rsidP="00530CC8">
      <w:r>
        <w:t>Utgifterna för de senaste månaderna har varit relativt höga</w:t>
      </w:r>
      <w:r w:rsidR="00BD3756">
        <w:t xml:space="preserve"> när Pensionsmyndigheten har avslutat många ärenden. </w:t>
      </w:r>
      <w:r>
        <w:t xml:space="preserve">Medelbelopp och retroaktiva utgifter har blivit högre än tidigare prognos. Medelbeloppet har justerats upp för kommande år. Utgiftsprognosen för åren 2019–2023 har därför justerats upp jämfört med föregående prognos. </w:t>
      </w:r>
    </w:p>
    <w:p w14:paraId="1F7301A3" w14:textId="77777777" w:rsidR="00530CC8" w:rsidRPr="00430738" w:rsidRDefault="00530CC8" w:rsidP="00892539">
      <w:pPr>
        <w:rPr>
          <w:snapToGrid w:val="0"/>
        </w:rPr>
      </w:pPr>
    </w:p>
    <w:p w14:paraId="3097A2C1" w14:textId="77777777" w:rsidR="005C58EB" w:rsidRPr="00976CD1" w:rsidRDefault="002A1C0C" w:rsidP="005C58EB">
      <w:pPr>
        <w:pStyle w:val="anslagspostrubrik"/>
      </w:pPr>
      <w:bookmarkStart w:id="10" w:name="_Toc221685248"/>
      <w:r>
        <w:lastRenderedPageBreak/>
        <w:t>1.1</w:t>
      </w:r>
      <w:r w:rsidR="005C58EB">
        <w:t>:4</w:t>
      </w:r>
      <w:r w:rsidR="005C58EB">
        <w:tab/>
        <w:t>Äldreförsörjningsstöd</w:t>
      </w:r>
      <w:bookmarkEnd w:id="10"/>
    </w:p>
    <w:p w14:paraId="444B947D" w14:textId="619DB58B" w:rsidR="005C58EB" w:rsidRDefault="17021632" w:rsidP="005C58EB">
      <w:pPr>
        <w:keepNext/>
      </w:pPr>
      <w:r>
        <w:t>I tabellen nedan görs en jämförelse med föregående prognos som lämnades till regeringen i oktober 2019.</w:t>
      </w:r>
    </w:p>
    <w:p w14:paraId="228C591A" w14:textId="50D63BB6" w:rsidR="00A62E49" w:rsidRDefault="00A62E49" w:rsidP="005C58EB">
      <w:pPr>
        <w:keepNext/>
      </w:pPr>
    </w:p>
    <w:p w14:paraId="1A6BEB7C" w14:textId="77777777" w:rsidR="00D14B5D" w:rsidRPr="00A01D93" w:rsidRDefault="17021632" w:rsidP="00D14B5D">
      <w:pPr>
        <w:keepNext/>
      </w:pPr>
      <w:r w:rsidRPr="17021632">
        <w:rPr>
          <w:rStyle w:val="versikt-fet"/>
        </w:rPr>
        <w:t>Prognosjämförelse.</w:t>
      </w:r>
      <w:r>
        <w:t xml:space="preserve"> Beloppen anges i 1000-tal kronor </w:t>
      </w:r>
    </w:p>
    <w:tbl>
      <w:tblPr>
        <w:tblW w:w="5000" w:type="pct"/>
        <w:tblCellMar>
          <w:left w:w="70" w:type="dxa"/>
          <w:right w:w="70" w:type="dxa"/>
        </w:tblCellMar>
        <w:tblLook w:val="0000" w:firstRow="0" w:lastRow="0" w:firstColumn="0" w:lastColumn="0" w:noHBand="0" w:noVBand="0"/>
      </w:tblPr>
      <w:tblGrid>
        <w:gridCol w:w="2410"/>
        <w:gridCol w:w="992"/>
        <w:gridCol w:w="992"/>
        <w:gridCol w:w="992"/>
        <w:gridCol w:w="992"/>
        <w:gridCol w:w="992"/>
      </w:tblGrid>
      <w:tr w:rsidR="00D14B5D" w:rsidRPr="00B44852" w14:paraId="46A11D06" w14:textId="77777777" w:rsidTr="007B2D68">
        <w:tc>
          <w:tcPr>
            <w:tcW w:w="1635" w:type="pct"/>
            <w:tcBorders>
              <w:top w:val="single" w:sz="4" w:space="0" w:color="auto"/>
              <w:bottom w:val="single" w:sz="4" w:space="0" w:color="auto"/>
            </w:tcBorders>
          </w:tcPr>
          <w:p w14:paraId="3935BE3A" w14:textId="77777777" w:rsidR="00D14B5D" w:rsidRPr="00B44852" w:rsidRDefault="00D14B5D" w:rsidP="00EB617B">
            <w:pPr>
              <w:pStyle w:val="anslagstabell"/>
              <w:jc w:val="center"/>
              <w:rPr>
                <w:b/>
              </w:rPr>
            </w:pPr>
          </w:p>
        </w:tc>
        <w:tc>
          <w:tcPr>
            <w:tcW w:w="673" w:type="pct"/>
            <w:tcBorders>
              <w:top w:val="single" w:sz="4" w:space="0" w:color="auto"/>
              <w:bottom w:val="single" w:sz="4" w:space="0" w:color="auto"/>
            </w:tcBorders>
          </w:tcPr>
          <w:p w14:paraId="5DCF8A2A" w14:textId="77777777" w:rsidR="00D14B5D" w:rsidRPr="00B44852" w:rsidRDefault="17021632" w:rsidP="17021632">
            <w:pPr>
              <w:pStyle w:val="anslagstabell"/>
              <w:jc w:val="center"/>
              <w:rPr>
                <w:b/>
                <w:bCs/>
              </w:rPr>
            </w:pPr>
            <w:r w:rsidRPr="17021632">
              <w:rPr>
                <w:b/>
                <w:bCs/>
              </w:rPr>
              <w:t>2019</w:t>
            </w:r>
          </w:p>
        </w:tc>
        <w:tc>
          <w:tcPr>
            <w:tcW w:w="673" w:type="pct"/>
            <w:tcBorders>
              <w:top w:val="single" w:sz="4" w:space="0" w:color="auto"/>
              <w:bottom w:val="single" w:sz="4" w:space="0" w:color="auto"/>
            </w:tcBorders>
          </w:tcPr>
          <w:p w14:paraId="7DF457F4" w14:textId="77777777" w:rsidR="00D14B5D" w:rsidRDefault="17021632" w:rsidP="17021632">
            <w:pPr>
              <w:pStyle w:val="anslagstabell"/>
              <w:jc w:val="center"/>
              <w:rPr>
                <w:b/>
                <w:bCs/>
              </w:rPr>
            </w:pPr>
            <w:r w:rsidRPr="17021632">
              <w:rPr>
                <w:b/>
                <w:bCs/>
              </w:rPr>
              <w:t>2020</w:t>
            </w:r>
          </w:p>
        </w:tc>
        <w:tc>
          <w:tcPr>
            <w:tcW w:w="673" w:type="pct"/>
            <w:tcBorders>
              <w:top w:val="single" w:sz="4" w:space="0" w:color="auto"/>
              <w:bottom w:val="single" w:sz="4" w:space="0" w:color="auto"/>
            </w:tcBorders>
          </w:tcPr>
          <w:p w14:paraId="21DF1EA8" w14:textId="77777777" w:rsidR="00D14B5D" w:rsidRDefault="17021632" w:rsidP="17021632">
            <w:pPr>
              <w:pStyle w:val="anslagstabell"/>
              <w:jc w:val="center"/>
              <w:rPr>
                <w:b/>
                <w:bCs/>
              </w:rPr>
            </w:pPr>
            <w:r w:rsidRPr="17021632">
              <w:rPr>
                <w:b/>
                <w:bCs/>
              </w:rPr>
              <w:t>2021</w:t>
            </w:r>
          </w:p>
        </w:tc>
        <w:tc>
          <w:tcPr>
            <w:tcW w:w="673" w:type="pct"/>
            <w:tcBorders>
              <w:top w:val="single" w:sz="4" w:space="0" w:color="auto"/>
              <w:bottom w:val="single" w:sz="4" w:space="0" w:color="auto"/>
            </w:tcBorders>
          </w:tcPr>
          <w:p w14:paraId="07A7E5FB" w14:textId="77777777" w:rsidR="00D14B5D" w:rsidRDefault="17021632" w:rsidP="17021632">
            <w:pPr>
              <w:pStyle w:val="anslagstabell"/>
              <w:jc w:val="center"/>
              <w:rPr>
                <w:b/>
                <w:bCs/>
              </w:rPr>
            </w:pPr>
            <w:r w:rsidRPr="17021632">
              <w:rPr>
                <w:b/>
                <w:bCs/>
              </w:rPr>
              <w:t>2022</w:t>
            </w:r>
          </w:p>
        </w:tc>
        <w:tc>
          <w:tcPr>
            <w:tcW w:w="673" w:type="pct"/>
            <w:tcBorders>
              <w:top w:val="single" w:sz="4" w:space="0" w:color="auto"/>
              <w:bottom w:val="single" w:sz="4" w:space="0" w:color="auto"/>
            </w:tcBorders>
          </w:tcPr>
          <w:p w14:paraId="4F2E8495" w14:textId="77777777" w:rsidR="00D14B5D" w:rsidRDefault="17021632" w:rsidP="17021632">
            <w:pPr>
              <w:pStyle w:val="anslagstabell"/>
              <w:jc w:val="center"/>
              <w:rPr>
                <w:b/>
                <w:bCs/>
              </w:rPr>
            </w:pPr>
            <w:r w:rsidRPr="17021632">
              <w:rPr>
                <w:b/>
                <w:bCs/>
              </w:rPr>
              <w:t>2023</w:t>
            </w:r>
          </w:p>
        </w:tc>
      </w:tr>
      <w:tr w:rsidR="00EB617B" w:rsidRPr="00E81B3C" w14:paraId="7709E668" w14:textId="77777777" w:rsidTr="007B2D68">
        <w:tc>
          <w:tcPr>
            <w:tcW w:w="1635" w:type="pct"/>
            <w:tcBorders>
              <w:top w:val="single" w:sz="4" w:space="0" w:color="auto"/>
            </w:tcBorders>
          </w:tcPr>
          <w:p w14:paraId="2DE3414D" w14:textId="77777777" w:rsidR="00EB617B" w:rsidRPr="008244FA" w:rsidRDefault="17021632" w:rsidP="17021632">
            <w:pPr>
              <w:pStyle w:val="anslagstabell"/>
              <w:rPr>
                <w:b/>
                <w:bCs/>
              </w:rPr>
            </w:pPr>
            <w:r w:rsidRPr="17021632">
              <w:rPr>
                <w:b/>
                <w:bCs/>
              </w:rPr>
              <w:t>Föregående prognos</w:t>
            </w:r>
          </w:p>
        </w:tc>
        <w:tc>
          <w:tcPr>
            <w:tcW w:w="673" w:type="pct"/>
            <w:tcBorders>
              <w:top w:val="single" w:sz="4" w:space="0" w:color="auto"/>
            </w:tcBorders>
          </w:tcPr>
          <w:p w14:paraId="024D03D0" w14:textId="7D0C03CA" w:rsidR="00EB617B" w:rsidRPr="001D0290" w:rsidRDefault="17021632" w:rsidP="17021632">
            <w:pPr>
              <w:pStyle w:val="anslagstabell-hgerstlld"/>
              <w:rPr>
                <w:b/>
                <w:bCs/>
              </w:rPr>
            </w:pPr>
            <w:r w:rsidRPr="17021632">
              <w:rPr>
                <w:b/>
                <w:bCs/>
              </w:rPr>
              <w:t>1 161 200</w:t>
            </w:r>
          </w:p>
        </w:tc>
        <w:tc>
          <w:tcPr>
            <w:tcW w:w="673" w:type="pct"/>
            <w:tcBorders>
              <w:top w:val="single" w:sz="4" w:space="0" w:color="auto"/>
            </w:tcBorders>
          </w:tcPr>
          <w:p w14:paraId="5F97F80F" w14:textId="50FA60DB" w:rsidR="00EB617B" w:rsidRPr="001D0290" w:rsidRDefault="17021632" w:rsidP="17021632">
            <w:pPr>
              <w:pStyle w:val="anslagstabell-hgerstlld"/>
              <w:rPr>
                <w:b/>
                <w:bCs/>
              </w:rPr>
            </w:pPr>
            <w:r w:rsidRPr="17021632">
              <w:rPr>
                <w:b/>
                <w:bCs/>
              </w:rPr>
              <w:t>1 139 300</w:t>
            </w:r>
          </w:p>
        </w:tc>
        <w:tc>
          <w:tcPr>
            <w:tcW w:w="673" w:type="pct"/>
            <w:tcBorders>
              <w:top w:val="single" w:sz="4" w:space="0" w:color="auto"/>
            </w:tcBorders>
          </w:tcPr>
          <w:p w14:paraId="64144BD0" w14:textId="306290CB" w:rsidR="00EB617B" w:rsidRPr="001D0290" w:rsidRDefault="17021632" w:rsidP="17021632">
            <w:pPr>
              <w:pStyle w:val="anslagstabell-hgerstlld"/>
              <w:rPr>
                <w:b/>
                <w:bCs/>
              </w:rPr>
            </w:pPr>
            <w:r w:rsidRPr="17021632">
              <w:rPr>
                <w:b/>
                <w:bCs/>
              </w:rPr>
              <w:t>1 176 100</w:t>
            </w:r>
          </w:p>
        </w:tc>
        <w:tc>
          <w:tcPr>
            <w:tcW w:w="673" w:type="pct"/>
            <w:tcBorders>
              <w:top w:val="single" w:sz="4" w:space="0" w:color="auto"/>
            </w:tcBorders>
          </w:tcPr>
          <w:p w14:paraId="79AD5EC6" w14:textId="5059906A" w:rsidR="00EB617B" w:rsidRPr="001D0290" w:rsidRDefault="17021632" w:rsidP="17021632">
            <w:pPr>
              <w:pStyle w:val="anslagstabell-hgerstlld"/>
              <w:rPr>
                <w:b/>
                <w:bCs/>
              </w:rPr>
            </w:pPr>
            <w:r w:rsidRPr="17021632">
              <w:rPr>
                <w:b/>
                <w:bCs/>
              </w:rPr>
              <w:t>1 226 700</w:t>
            </w:r>
          </w:p>
        </w:tc>
        <w:tc>
          <w:tcPr>
            <w:tcW w:w="673" w:type="pct"/>
            <w:tcBorders>
              <w:top w:val="single" w:sz="4" w:space="0" w:color="auto"/>
            </w:tcBorders>
          </w:tcPr>
          <w:p w14:paraId="0B19C792" w14:textId="17061617" w:rsidR="00EB617B" w:rsidRPr="001D0290" w:rsidRDefault="17021632" w:rsidP="17021632">
            <w:pPr>
              <w:pStyle w:val="anslagstabell-hgerstlld"/>
              <w:rPr>
                <w:b/>
                <w:bCs/>
              </w:rPr>
            </w:pPr>
            <w:r w:rsidRPr="17021632">
              <w:rPr>
                <w:b/>
                <w:bCs/>
              </w:rPr>
              <w:t>1 282 000</w:t>
            </w:r>
          </w:p>
        </w:tc>
      </w:tr>
      <w:tr w:rsidR="00EB617B" w:rsidRPr="00E81B3C" w14:paraId="086E53DE" w14:textId="77777777" w:rsidTr="007B2D68">
        <w:tc>
          <w:tcPr>
            <w:tcW w:w="1635" w:type="pct"/>
          </w:tcPr>
          <w:p w14:paraId="51D910BA" w14:textId="77777777" w:rsidR="00EB617B" w:rsidRPr="00B44852" w:rsidRDefault="17021632" w:rsidP="00EB617B">
            <w:pPr>
              <w:pStyle w:val="anslagstabell"/>
            </w:pPr>
            <w:r>
              <w:t>Överföring till/från andra anslag</w:t>
            </w:r>
          </w:p>
        </w:tc>
        <w:tc>
          <w:tcPr>
            <w:tcW w:w="673" w:type="pct"/>
          </w:tcPr>
          <w:p w14:paraId="0F638D9C" w14:textId="77777777" w:rsidR="00EB617B" w:rsidRPr="00E81B3C" w:rsidRDefault="00EB617B" w:rsidP="00EB617B">
            <w:pPr>
              <w:pStyle w:val="anslagstabell-hgerstlld"/>
              <w:rPr>
                <w:color w:val="FF0000"/>
              </w:rPr>
            </w:pPr>
          </w:p>
        </w:tc>
        <w:tc>
          <w:tcPr>
            <w:tcW w:w="673" w:type="pct"/>
          </w:tcPr>
          <w:p w14:paraId="793C4B92" w14:textId="77777777" w:rsidR="00EB617B" w:rsidRPr="00E81B3C" w:rsidRDefault="00EB617B" w:rsidP="00EB617B">
            <w:pPr>
              <w:pStyle w:val="anslagstabell-hgerstlld"/>
              <w:rPr>
                <w:color w:val="FF0000"/>
              </w:rPr>
            </w:pPr>
          </w:p>
        </w:tc>
        <w:tc>
          <w:tcPr>
            <w:tcW w:w="673" w:type="pct"/>
          </w:tcPr>
          <w:p w14:paraId="192C1F32" w14:textId="77777777" w:rsidR="00EB617B" w:rsidRPr="00E81B3C" w:rsidRDefault="00EB617B" w:rsidP="00EB617B">
            <w:pPr>
              <w:pStyle w:val="anslagstabell-hgerstlld"/>
              <w:rPr>
                <w:color w:val="FF0000"/>
              </w:rPr>
            </w:pPr>
          </w:p>
        </w:tc>
        <w:tc>
          <w:tcPr>
            <w:tcW w:w="673" w:type="pct"/>
          </w:tcPr>
          <w:p w14:paraId="4CB57E15" w14:textId="77777777" w:rsidR="00EB617B" w:rsidRPr="00E81B3C" w:rsidRDefault="00EB617B" w:rsidP="00EB617B">
            <w:pPr>
              <w:pStyle w:val="anslagstabell-hgerstlld"/>
              <w:rPr>
                <w:color w:val="FF0000"/>
              </w:rPr>
            </w:pPr>
          </w:p>
        </w:tc>
        <w:tc>
          <w:tcPr>
            <w:tcW w:w="673" w:type="pct"/>
          </w:tcPr>
          <w:p w14:paraId="69B2B8F4" w14:textId="77777777" w:rsidR="00EB617B" w:rsidRPr="00E81B3C" w:rsidRDefault="00EB617B" w:rsidP="00EB617B">
            <w:pPr>
              <w:pStyle w:val="anslagstabell-hgerstlld"/>
              <w:rPr>
                <w:color w:val="FF0000"/>
              </w:rPr>
            </w:pPr>
          </w:p>
        </w:tc>
      </w:tr>
      <w:tr w:rsidR="00EB617B" w:rsidRPr="00E81B3C" w14:paraId="083A0C67" w14:textId="77777777" w:rsidTr="007B2D68">
        <w:tc>
          <w:tcPr>
            <w:tcW w:w="1635" w:type="pct"/>
          </w:tcPr>
          <w:p w14:paraId="0B941C5B" w14:textId="77777777" w:rsidR="00EB617B" w:rsidRPr="00B44852" w:rsidRDefault="17021632" w:rsidP="00EB617B">
            <w:pPr>
              <w:pStyle w:val="anslagstabell"/>
            </w:pPr>
            <w:r>
              <w:t>Ändrade makroekonomiska antaganden</w:t>
            </w:r>
          </w:p>
        </w:tc>
        <w:tc>
          <w:tcPr>
            <w:tcW w:w="673" w:type="pct"/>
          </w:tcPr>
          <w:p w14:paraId="4C108515" w14:textId="77777777" w:rsidR="00EB617B" w:rsidRPr="00E81B3C" w:rsidRDefault="00EB617B" w:rsidP="00EB617B">
            <w:pPr>
              <w:pStyle w:val="anslagstabell-hgerstlld"/>
              <w:rPr>
                <w:color w:val="FF0000"/>
              </w:rPr>
            </w:pPr>
          </w:p>
        </w:tc>
        <w:tc>
          <w:tcPr>
            <w:tcW w:w="673" w:type="pct"/>
          </w:tcPr>
          <w:p w14:paraId="30CE4F0C" w14:textId="74CCDD7F" w:rsidR="00EB617B" w:rsidRPr="00E81B3C" w:rsidRDefault="17021632" w:rsidP="00EB617B">
            <w:pPr>
              <w:pStyle w:val="anslagstabell-hgerstlld"/>
            </w:pPr>
            <w:r>
              <w:t>+1 200</w:t>
            </w:r>
          </w:p>
        </w:tc>
        <w:tc>
          <w:tcPr>
            <w:tcW w:w="673" w:type="pct"/>
          </w:tcPr>
          <w:p w14:paraId="75BB3FB8" w14:textId="6F4951AA" w:rsidR="00EB617B" w:rsidRPr="00E81B3C" w:rsidRDefault="17021632" w:rsidP="000C0751">
            <w:pPr>
              <w:pStyle w:val="anslagstabell-hgerstlld"/>
            </w:pPr>
            <w:r>
              <w:t>–500</w:t>
            </w:r>
          </w:p>
        </w:tc>
        <w:tc>
          <w:tcPr>
            <w:tcW w:w="673" w:type="pct"/>
          </w:tcPr>
          <w:p w14:paraId="2B88772C" w14:textId="5BD18CF3" w:rsidR="00EB617B" w:rsidRPr="00E81B3C" w:rsidRDefault="17021632" w:rsidP="00EB617B">
            <w:pPr>
              <w:pStyle w:val="anslagstabell-hgerstlld"/>
            </w:pPr>
            <w:r>
              <w:t>–600</w:t>
            </w:r>
          </w:p>
        </w:tc>
        <w:tc>
          <w:tcPr>
            <w:tcW w:w="673" w:type="pct"/>
          </w:tcPr>
          <w:p w14:paraId="2D509A3E" w14:textId="44A814B4" w:rsidR="00EB617B" w:rsidRPr="00E81B3C" w:rsidRDefault="17021632" w:rsidP="00EB617B">
            <w:pPr>
              <w:pStyle w:val="anslagstabell-hgerstlld"/>
            </w:pPr>
            <w:r>
              <w:t>–1 400</w:t>
            </w:r>
          </w:p>
        </w:tc>
      </w:tr>
      <w:tr w:rsidR="00EB617B" w:rsidRPr="00E81B3C" w14:paraId="648592E9" w14:textId="77777777" w:rsidTr="007B2D68">
        <w:tc>
          <w:tcPr>
            <w:tcW w:w="1635" w:type="pct"/>
          </w:tcPr>
          <w:p w14:paraId="35FA70A9" w14:textId="77777777" w:rsidR="00EB617B" w:rsidRPr="00B44852" w:rsidRDefault="17021632" w:rsidP="00EB617B">
            <w:pPr>
              <w:pStyle w:val="anslagstabell"/>
            </w:pPr>
            <w:r>
              <w:t>Volym- och strukturförändringar</w:t>
            </w:r>
          </w:p>
        </w:tc>
        <w:tc>
          <w:tcPr>
            <w:tcW w:w="673" w:type="pct"/>
          </w:tcPr>
          <w:p w14:paraId="63C0C16F" w14:textId="1A40A3E3" w:rsidR="00EB617B" w:rsidRPr="001701F3" w:rsidRDefault="17021632" w:rsidP="00EB617B">
            <w:pPr>
              <w:pStyle w:val="anslagstabell-hgerstlld"/>
            </w:pPr>
            <w:r>
              <w:t>+5 889</w:t>
            </w:r>
          </w:p>
        </w:tc>
        <w:tc>
          <w:tcPr>
            <w:tcW w:w="673" w:type="pct"/>
          </w:tcPr>
          <w:p w14:paraId="74C9A872" w14:textId="22A5B2F7" w:rsidR="00EB617B" w:rsidRPr="001701F3" w:rsidRDefault="17021632" w:rsidP="00EB617B">
            <w:pPr>
              <w:pStyle w:val="anslagstabell-hgerstlld"/>
            </w:pPr>
            <w:r>
              <w:t>+2 500</w:t>
            </w:r>
          </w:p>
        </w:tc>
        <w:tc>
          <w:tcPr>
            <w:tcW w:w="673" w:type="pct"/>
          </w:tcPr>
          <w:p w14:paraId="7750178B" w14:textId="3B12B524" w:rsidR="00EB617B" w:rsidRPr="001701F3" w:rsidRDefault="17021632" w:rsidP="00EB617B">
            <w:pPr>
              <w:pStyle w:val="anslagstabell-hgerstlld"/>
            </w:pPr>
            <w:r>
              <w:t>–4 900</w:t>
            </w:r>
          </w:p>
        </w:tc>
        <w:tc>
          <w:tcPr>
            <w:tcW w:w="673" w:type="pct"/>
          </w:tcPr>
          <w:p w14:paraId="56A432B2" w14:textId="2E37C47E" w:rsidR="00EB617B" w:rsidRPr="001701F3" w:rsidRDefault="17021632" w:rsidP="00EB617B">
            <w:pPr>
              <w:pStyle w:val="anslagstabell-hgerstlld"/>
            </w:pPr>
            <w:r>
              <w:t>–13 600</w:t>
            </w:r>
          </w:p>
        </w:tc>
        <w:tc>
          <w:tcPr>
            <w:tcW w:w="673" w:type="pct"/>
          </w:tcPr>
          <w:p w14:paraId="7439B299" w14:textId="0B7FF9FA" w:rsidR="00EB617B" w:rsidRPr="001701F3" w:rsidRDefault="17021632" w:rsidP="00EB617B">
            <w:pPr>
              <w:pStyle w:val="anslagstabell-hgerstlld"/>
            </w:pPr>
            <w:r>
              <w:t>–25 900</w:t>
            </w:r>
          </w:p>
        </w:tc>
      </w:tr>
      <w:tr w:rsidR="00EB617B" w:rsidRPr="00E81B3C" w14:paraId="5CAFCECF" w14:textId="77777777" w:rsidTr="007B2D68">
        <w:tc>
          <w:tcPr>
            <w:tcW w:w="1635" w:type="pct"/>
          </w:tcPr>
          <w:p w14:paraId="7361F43F" w14:textId="77777777" w:rsidR="00EB617B" w:rsidRPr="00B44852" w:rsidRDefault="17021632" w:rsidP="00EB617B">
            <w:pPr>
              <w:pStyle w:val="anslagstabell"/>
            </w:pPr>
            <w:r>
              <w:t>Ny regeländring</w:t>
            </w:r>
          </w:p>
        </w:tc>
        <w:tc>
          <w:tcPr>
            <w:tcW w:w="673" w:type="pct"/>
          </w:tcPr>
          <w:p w14:paraId="0FE3FB8B" w14:textId="77777777" w:rsidR="00EB617B" w:rsidRPr="00E81B3C" w:rsidRDefault="00EB617B" w:rsidP="00EB617B">
            <w:pPr>
              <w:pStyle w:val="anslagstabell-hgerstlld"/>
              <w:rPr>
                <w:color w:val="FF0000"/>
              </w:rPr>
            </w:pPr>
          </w:p>
        </w:tc>
        <w:tc>
          <w:tcPr>
            <w:tcW w:w="673" w:type="pct"/>
          </w:tcPr>
          <w:p w14:paraId="3835B147" w14:textId="77777777" w:rsidR="00EB617B" w:rsidRPr="00E81B3C" w:rsidRDefault="00EB617B" w:rsidP="00EB617B">
            <w:pPr>
              <w:pStyle w:val="anslagstabell-hgerstlld"/>
              <w:rPr>
                <w:color w:val="FF0000"/>
              </w:rPr>
            </w:pPr>
          </w:p>
        </w:tc>
        <w:tc>
          <w:tcPr>
            <w:tcW w:w="673" w:type="pct"/>
          </w:tcPr>
          <w:p w14:paraId="7EDEC9F4" w14:textId="77777777" w:rsidR="00EB617B" w:rsidRPr="00E81B3C" w:rsidRDefault="00EB617B" w:rsidP="00EB617B">
            <w:pPr>
              <w:pStyle w:val="anslagstabell-hgerstlld"/>
              <w:rPr>
                <w:color w:val="FF0000"/>
              </w:rPr>
            </w:pPr>
          </w:p>
        </w:tc>
        <w:tc>
          <w:tcPr>
            <w:tcW w:w="673" w:type="pct"/>
          </w:tcPr>
          <w:p w14:paraId="43F69BB0" w14:textId="77777777" w:rsidR="00EB617B" w:rsidRPr="00E81B3C" w:rsidRDefault="00EB617B" w:rsidP="00EB617B">
            <w:pPr>
              <w:pStyle w:val="anslagstabell-hgerstlld"/>
              <w:rPr>
                <w:color w:val="FF0000"/>
              </w:rPr>
            </w:pPr>
          </w:p>
        </w:tc>
        <w:tc>
          <w:tcPr>
            <w:tcW w:w="673" w:type="pct"/>
          </w:tcPr>
          <w:p w14:paraId="66BF8720" w14:textId="77777777" w:rsidR="00EB617B" w:rsidRPr="00E81B3C" w:rsidRDefault="00EB617B" w:rsidP="00EB617B">
            <w:pPr>
              <w:pStyle w:val="anslagstabell-hgerstlld"/>
              <w:rPr>
                <w:color w:val="FF0000"/>
              </w:rPr>
            </w:pPr>
          </w:p>
        </w:tc>
      </w:tr>
      <w:tr w:rsidR="00EB617B" w:rsidRPr="00E81B3C" w14:paraId="361AF206" w14:textId="77777777" w:rsidTr="007B2D68">
        <w:tc>
          <w:tcPr>
            <w:tcW w:w="1635" w:type="pct"/>
          </w:tcPr>
          <w:p w14:paraId="5F9DC286" w14:textId="77777777" w:rsidR="00EB617B" w:rsidRPr="00B44852" w:rsidRDefault="17021632" w:rsidP="00EB617B">
            <w:pPr>
              <w:pStyle w:val="anslagstabell"/>
            </w:pPr>
            <w:r>
              <w:t>Övrigt</w:t>
            </w:r>
          </w:p>
        </w:tc>
        <w:tc>
          <w:tcPr>
            <w:tcW w:w="673" w:type="pct"/>
          </w:tcPr>
          <w:p w14:paraId="423C7B07" w14:textId="77777777" w:rsidR="00EB617B" w:rsidRPr="00E81B3C" w:rsidRDefault="00EB617B" w:rsidP="00EB617B">
            <w:pPr>
              <w:pStyle w:val="anslagstabell-hgerstlld"/>
              <w:rPr>
                <w:color w:val="FF0000"/>
              </w:rPr>
            </w:pPr>
          </w:p>
        </w:tc>
        <w:tc>
          <w:tcPr>
            <w:tcW w:w="673" w:type="pct"/>
          </w:tcPr>
          <w:p w14:paraId="2548880C" w14:textId="77777777" w:rsidR="00EB617B" w:rsidRPr="00E81B3C" w:rsidRDefault="00EB617B" w:rsidP="00EB617B">
            <w:pPr>
              <w:pStyle w:val="anslagstabell-hgerstlld"/>
              <w:rPr>
                <w:color w:val="FF0000"/>
              </w:rPr>
            </w:pPr>
          </w:p>
        </w:tc>
        <w:tc>
          <w:tcPr>
            <w:tcW w:w="673" w:type="pct"/>
          </w:tcPr>
          <w:p w14:paraId="6A97F94B" w14:textId="77777777" w:rsidR="00EB617B" w:rsidRPr="00E81B3C" w:rsidRDefault="00EB617B" w:rsidP="00EB617B">
            <w:pPr>
              <w:pStyle w:val="anslagstabell-hgerstlld"/>
              <w:rPr>
                <w:color w:val="FF0000"/>
              </w:rPr>
            </w:pPr>
          </w:p>
        </w:tc>
        <w:tc>
          <w:tcPr>
            <w:tcW w:w="673" w:type="pct"/>
          </w:tcPr>
          <w:p w14:paraId="63439047" w14:textId="77777777" w:rsidR="00EB617B" w:rsidRPr="00E81B3C" w:rsidRDefault="00EB617B" w:rsidP="00EB617B">
            <w:pPr>
              <w:pStyle w:val="anslagstabell-hgerstlld"/>
              <w:rPr>
                <w:color w:val="FF0000"/>
              </w:rPr>
            </w:pPr>
          </w:p>
        </w:tc>
        <w:tc>
          <w:tcPr>
            <w:tcW w:w="673" w:type="pct"/>
          </w:tcPr>
          <w:p w14:paraId="3202F26C" w14:textId="77777777" w:rsidR="00EB617B" w:rsidRPr="00E81B3C" w:rsidRDefault="00EB617B" w:rsidP="00EB617B">
            <w:pPr>
              <w:pStyle w:val="anslagstabell-hgerstlld"/>
              <w:rPr>
                <w:color w:val="FF0000"/>
              </w:rPr>
            </w:pPr>
          </w:p>
        </w:tc>
      </w:tr>
      <w:tr w:rsidR="00EB617B" w:rsidRPr="00E81B3C" w14:paraId="16883221" w14:textId="77777777" w:rsidTr="007B2D68">
        <w:tc>
          <w:tcPr>
            <w:tcW w:w="1635" w:type="pct"/>
            <w:tcBorders>
              <w:bottom w:val="single" w:sz="4" w:space="0" w:color="auto"/>
            </w:tcBorders>
          </w:tcPr>
          <w:p w14:paraId="42C3B363" w14:textId="77777777" w:rsidR="00EB617B" w:rsidRPr="008244FA" w:rsidRDefault="17021632" w:rsidP="17021632">
            <w:pPr>
              <w:pStyle w:val="anslagstabell"/>
              <w:rPr>
                <w:b/>
                <w:bCs/>
              </w:rPr>
            </w:pPr>
            <w:r w:rsidRPr="17021632">
              <w:rPr>
                <w:b/>
                <w:bCs/>
              </w:rPr>
              <w:t xml:space="preserve">Ny prognos </w:t>
            </w:r>
          </w:p>
        </w:tc>
        <w:tc>
          <w:tcPr>
            <w:tcW w:w="673" w:type="pct"/>
            <w:tcBorders>
              <w:bottom w:val="single" w:sz="4" w:space="0" w:color="auto"/>
            </w:tcBorders>
          </w:tcPr>
          <w:p w14:paraId="68C5A352" w14:textId="3D8A9A2F" w:rsidR="00EB617B" w:rsidRPr="00E81B3C" w:rsidRDefault="17021632" w:rsidP="17021632">
            <w:pPr>
              <w:jc w:val="right"/>
              <w:rPr>
                <w:rFonts w:ascii="Arial" w:hAnsi="Arial" w:cs="Arial"/>
                <w:b/>
                <w:bCs/>
                <w:sz w:val="18"/>
                <w:szCs w:val="18"/>
                <w:lang w:eastAsia="en-US"/>
              </w:rPr>
            </w:pPr>
            <w:r w:rsidRPr="17021632">
              <w:rPr>
                <w:rFonts w:ascii="Arial" w:hAnsi="Arial" w:cs="Arial"/>
                <w:b/>
                <w:bCs/>
                <w:sz w:val="18"/>
                <w:szCs w:val="18"/>
                <w:lang w:eastAsia="en-US"/>
              </w:rPr>
              <w:t>1 167 089</w:t>
            </w:r>
          </w:p>
        </w:tc>
        <w:tc>
          <w:tcPr>
            <w:tcW w:w="673" w:type="pct"/>
            <w:tcBorders>
              <w:bottom w:val="single" w:sz="4" w:space="0" w:color="auto"/>
            </w:tcBorders>
          </w:tcPr>
          <w:p w14:paraId="01177023" w14:textId="033B0D88" w:rsidR="00EB617B" w:rsidRPr="00E81B3C" w:rsidRDefault="17021632" w:rsidP="17021632">
            <w:pPr>
              <w:jc w:val="right"/>
              <w:rPr>
                <w:rFonts w:ascii="Arial" w:hAnsi="Arial" w:cs="Arial"/>
                <w:b/>
                <w:bCs/>
                <w:sz w:val="18"/>
                <w:szCs w:val="18"/>
                <w:lang w:eastAsia="en-US"/>
              </w:rPr>
            </w:pPr>
            <w:r w:rsidRPr="17021632">
              <w:rPr>
                <w:rFonts w:ascii="Arial" w:hAnsi="Arial" w:cs="Arial"/>
                <w:b/>
                <w:bCs/>
                <w:sz w:val="18"/>
                <w:szCs w:val="18"/>
                <w:lang w:eastAsia="en-US"/>
              </w:rPr>
              <w:t>1 143 000</w:t>
            </w:r>
          </w:p>
        </w:tc>
        <w:tc>
          <w:tcPr>
            <w:tcW w:w="673" w:type="pct"/>
            <w:tcBorders>
              <w:bottom w:val="single" w:sz="4" w:space="0" w:color="auto"/>
            </w:tcBorders>
          </w:tcPr>
          <w:p w14:paraId="7B359F0A" w14:textId="1748DD29" w:rsidR="00EB617B" w:rsidRPr="00E81B3C" w:rsidRDefault="17021632" w:rsidP="17021632">
            <w:pPr>
              <w:jc w:val="right"/>
              <w:rPr>
                <w:rFonts w:ascii="Arial" w:hAnsi="Arial" w:cs="Arial"/>
                <w:b/>
                <w:bCs/>
                <w:sz w:val="18"/>
                <w:szCs w:val="18"/>
                <w:lang w:eastAsia="en-US"/>
              </w:rPr>
            </w:pPr>
            <w:r w:rsidRPr="17021632">
              <w:rPr>
                <w:rFonts w:ascii="Arial" w:hAnsi="Arial" w:cs="Arial"/>
                <w:b/>
                <w:bCs/>
                <w:sz w:val="18"/>
                <w:szCs w:val="18"/>
                <w:lang w:eastAsia="en-US"/>
              </w:rPr>
              <w:t>1 170 700</w:t>
            </w:r>
          </w:p>
        </w:tc>
        <w:tc>
          <w:tcPr>
            <w:tcW w:w="673" w:type="pct"/>
            <w:tcBorders>
              <w:bottom w:val="single" w:sz="4" w:space="0" w:color="auto"/>
            </w:tcBorders>
          </w:tcPr>
          <w:p w14:paraId="532348E8" w14:textId="1999CD10" w:rsidR="00EB617B" w:rsidRPr="00E81B3C" w:rsidRDefault="17021632" w:rsidP="17021632">
            <w:pPr>
              <w:jc w:val="right"/>
              <w:rPr>
                <w:rFonts w:ascii="Arial" w:hAnsi="Arial" w:cs="Arial"/>
                <w:b/>
                <w:bCs/>
                <w:sz w:val="18"/>
                <w:szCs w:val="18"/>
                <w:lang w:eastAsia="en-US"/>
              </w:rPr>
            </w:pPr>
            <w:r w:rsidRPr="17021632">
              <w:rPr>
                <w:rFonts w:ascii="Arial" w:hAnsi="Arial" w:cs="Arial"/>
                <w:b/>
                <w:bCs/>
                <w:sz w:val="18"/>
                <w:szCs w:val="18"/>
                <w:lang w:eastAsia="en-US"/>
              </w:rPr>
              <w:t>1 212 500</w:t>
            </w:r>
          </w:p>
        </w:tc>
        <w:tc>
          <w:tcPr>
            <w:tcW w:w="673" w:type="pct"/>
            <w:tcBorders>
              <w:bottom w:val="single" w:sz="4" w:space="0" w:color="auto"/>
            </w:tcBorders>
          </w:tcPr>
          <w:p w14:paraId="0BB0BE7B" w14:textId="619E15C0" w:rsidR="00EB617B" w:rsidRPr="00E81B3C" w:rsidRDefault="17021632" w:rsidP="17021632">
            <w:pPr>
              <w:jc w:val="right"/>
              <w:rPr>
                <w:rFonts w:ascii="Arial" w:hAnsi="Arial" w:cs="Arial"/>
                <w:b/>
                <w:bCs/>
                <w:sz w:val="18"/>
                <w:szCs w:val="18"/>
                <w:lang w:eastAsia="en-US"/>
              </w:rPr>
            </w:pPr>
            <w:r w:rsidRPr="17021632">
              <w:rPr>
                <w:rFonts w:ascii="Arial" w:hAnsi="Arial" w:cs="Arial"/>
                <w:b/>
                <w:bCs/>
                <w:sz w:val="18"/>
                <w:szCs w:val="18"/>
                <w:lang w:eastAsia="en-US"/>
              </w:rPr>
              <w:t>1 254 700</w:t>
            </w:r>
          </w:p>
        </w:tc>
      </w:tr>
      <w:tr w:rsidR="00EB617B" w:rsidRPr="008244FA" w14:paraId="50A924CA" w14:textId="77777777" w:rsidTr="007B2D68">
        <w:tc>
          <w:tcPr>
            <w:tcW w:w="1635" w:type="pct"/>
            <w:tcBorders>
              <w:top w:val="single" w:sz="4" w:space="0" w:color="auto"/>
              <w:bottom w:val="single" w:sz="4" w:space="0" w:color="auto"/>
            </w:tcBorders>
          </w:tcPr>
          <w:p w14:paraId="01F7CD5F" w14:textId="77777777" w:rsidR="00EB617B" w:rsidRPr="008244FA" w:rsidRDefault="00EB617B" w:rsidP="00EB617B">
            <w:pPr>
              <w:pStyle w:val="anslagstabell"/>
              <w:rPr>
                <w:b/>
              </w:rPr>
            </w:pPr>
          </w:p>
        </w:tc>
        <w:tc>
          <w:tcPr>
            <w:tcW w:w="673" w:type="pct"/>
            <w:tcBorders>
              <w:top w:val="single" w:sz="4" w:space="0" w:color="auto"/>
              <w:bottom w:val="single" w:sz="4" w:space="0" w:color="auto"/>
            </w:tcBorders>
          </w:tcPr>
          <w:p w14:paraId="1A8E5D87" w14:textId="77777777" w:rsidR="00EB617B" w:rsidRPr="0091385C" w:rsidRDefault="00EB617B" w:rsidP="00EB617B">
            <w:pPr>
              <w:pStyle w:val="anslagstabell"/>
              <w:jc w:val="right"/>
              <w:rPr>
                <w:b/>
              </w:rPr>
            </w:pPr>
          </w:p>
        </w:tc>
        <w:tc>
          <w:tcPr>
            <w:tcW w:w="673" w:type="pct"/>
            <w:tcBorders>
              <w:top w:val="single" w:sz="4" w:space="0" w:color="auto"/>
              <w:bottom w:val="single" w:sz="4" w:space="0" w:color="auto"/>
            </w:tcBorders>
          </w:tcPr>
          <w:p w14:paraId="62A6B75F" w14:textId="77777777" w:rsidR="00EB617B" w:rsidRPr="0091385C" w:rsidRDefault="00EB617B" w:rsidP="00EB617B">
            <w:pPr>
              <w:pStyle w:val="anslagstabell"/>
              <w:jc w:val="right"/>
              <w:rPr>
                <w:b/>
              </w:rPr>
            </w:pPr>
          </w:p>
        </w:tc>
        <w:tc>
          <w:tcPr>
            <w:tcW w:w="673" w:type="pct"/>
            <w:tcBorders>
              <w:top w:val="single" w:sz="4" w:space="0" w:color="auto"/>
              <w:bottom w:val="single" w:sz="4" w:space="0" w:color="auto"/>
            </w:tcBorders>
          </w:tcPr>
          <w:p w14:paraId="30D59240" w14:textId="77777777" w:rsidR="00EB617B" w:rsidRPr="0091385C" w:rsidRDefault="00EB617B" w:rsidP="00EB617B">
            <w:pPr>
              <w:pStyle w:val="anslagstabell"/>
              <w:jc w:val="right"/>
              <w:rPr>
                <w:b/>
              </w:rPr>
            </w:pPr>
          </w:p>
        </w:tc>
        <w:tc>
          <w:tcPr>
            <w:tcW w:w="673" w:type="pct"/>
            <w:tcBorders>
              <w:top w:val="single" w:sz="4" w:space="0" w:color="auto"/>
              <w:bottom w:val="single" w:sz="4" w:space="0" w:color="auto"/>
            </w:tcBorders>
          </w:tcPr>
          <w:p w14:paraId="0C5879D2" w14:textId="77777777" w:rsidR="00EB617B" w:rsidRPr="0091385C" w:rsidRDefault="00EB617B" w:rsidP="00EB617B">
            <w:pPr>
              <w:pStyle w:val="anslagstabell"/>
              <w:jc w:val="right"/>
              <w:rPr>
                <w:b/>
              </w:rPr>
            </w:pPr>
          </w:p>
        </w:tc>
        <w:tc>
          <w:tcPr>
            <w:tcW w:w="673" w:type="pct"/>
            <w:tcBorders>
              <w:top w:val="single" w:sz="4" w:space="0" w:color="auto"/>
              <w:bottom w:val="single" w:sz="4" w:space="0" w:color="auto"/>
            </w:tcBorders>
          </w:tcPr>
          <w:p w14:paraId="3946153A" w14:textId="77777777" w:rsidR="00EB617B" w:rsidRPr="0091385C" w:rsidRDefault="00EB617B" w:rsidP="00EB617B">
            <w:pPr>
              <w:pStyle w:val="anslagstabell"/>
              <w:jc w:val="right"/>
              <w:rPr>
                <w:b/>
              </w:rPr>
            </w:pPr>
          </w:p>
        </w:tc>
      </w:tr>
      <w:tr w:rsidR="00EB617B" w:rsidRPr="00F935F7" w14:paraId="089F3CEC" w14:textId="77777777" w:rsidTr="007B2D68">
        <w:tc>
          <w:tcPr>
            <w:tcW w:w="1635" w:type="pct"/>
            <w:tcBorders>
              <w:top w:val="single" w:sz="4" w:space="0" w:color="auto"/>
            </w:tcBorders>
          </w:tcPr>
          <w:p w14:paraId="03F5479B" w14:textId="77777777" w:rsidR="00EB617B" w:rsidRPr="00F935F7" w:rsidRDefault="17021632" w:rsidP="00EB617B">
            <w:pPr>
              <w:pStyle w:val="anslagstabell"/>
            </w:pPr>
            <w:r>
              <w:t>Differens i 1000-tal kronor</w:t>
            </w:r>
          </w:p>
        </w:tc>
        <w:tc>
          <w:tcPr>
            <w:tcW w:w="673" w:type="pct"/>
            <w:tcBorders>
              <w:top w:val="single" w:sz="4" w:space="0" w:color="auto"/>
            </w:tcBorders>
          </w:tcPr>
          <w:p w14:paraId="73C8C033" w14:textId="4D518421" w:rsidR="00EB617B" w:rsidRPr="001701F3" w:rsidRDefault="17021632" w:rsidP="00EB617B">
            <w:pPr>
              <w:pStyle w:val="anslagstabell-hgerstlld"/>
            </w:pPr>
            <w:r>
              <w:t>+5 889</w:t>
            </w:r>
          </w:p>
        </w:tc>
        <w:tc>
          <w:tcPr>
            <w:tcW w:w="673" w:type="pct"/>
            <w:tcBorders>
              <w:top w:val="single" w:sz="4" w:space="0" w:color="auto"/>
            </w:tcBorders>
          </w:tcPr>
          <w:p w14:paraId="77825BE3" w14:textId="7F2B3023" w:rsidR="00EB617B" w:rsidRPr="001701F3" w:rsidRDefault="17021632" w:rsidP="00EB617B">
            <w:pPr>
              <w:pStyle w:val="anslagstabell-hgerstlld"/>
            </w:pPr>
            <w:r>
              <w:t>+3 700</w:t>
            </w:r>
          </w:p>
        </w:tc>
        <w:tc>
          <w:tcPr>
            <w:tcW w:w="673" w:type="pct"/>
            <w:tcBorders>
              <w:top w:val="single" w:sz="4" w:space="0" w:color="auto"/>
            </w:tcBorders>
          </w:tcPr>
          <w:p w14:paraId="5F0BFAF0" w14:textId="4F48E456" w:rsidR="00EB617B" w:rsidRPr="001701F3" w:rsidRDefault="17021632" w:rsidP="00EB617B">
            <w:pPr>
              <w:pStyle w:val="anslagstabell-hgerstlld"/>
            </w:pPr>
            <w:r>
              <w:t>–5 400</w:t>
            </w:r>
          </w:p>
        </w:tc>
        <w:tc>
          <w:tcPr>
            <w:tcW w:w="673" w:type="pct"/>
            <w:tcBorders>
              <w:top w:val="single" w:sz="4" w:space="0" w:color="auto"/>
            </w:tcBorders>
          </w:tcPr>
          <w:p w14:paraId="69A6C38B" w14:textId="30DE42A8" w:rsidR="00EB617B" w:rsidRPr="001701F3" w:rsidRDefault="17021632" w:rsidP="00EB617B">
            <w:pPr>
              <w:pStyle w:val="anslagstabell-hgerstlld"/>
            </w:pPr>
            <w:r>
              <w:t>–14 200</w:t>
            </w:r>
          </w:p>
        </w:tc>
        <w:tc>
          <w:tcPr>
            <w:tcW w:w="673" w:type="pct"/>
            <w:tcBorders>
              <w:top w:val="single" w:sz="4" w:space="0" w:color="auto"/>
            </w:tcBorders>
          </w:tcPr>
          <w:p w14:paraId="3DA89D16" w14:textId="16A98EDB" w:rsidR="00EB617B" w:rsidRPr="001701F3" w:rsidRDefault="17021632" w:rsidP="00EB617B">
            <w:pPr>
              <w:pStyle w:val="anslagstabell-hgerstlld"/>
            </w:pPr>
            <w:r>
              <w:t>–27 300</w:t>
            </w:r>
          </w:p>
        </w:tc>
      </w:tr>
      <w:tr w:rsidR="00EB617B" w:rsidRPr="00F935F7" w14:paraId="5575BD6C" w14:textId="77777777" w:rsidTr="007B2D68">
        <w:tc>
          <w:tcPr>
            <w:tcW w:w="1635" w:type="pct"/>
            <w:tcBorders>
              <w:bottom w:val="single" w:sz="4" w:space="0" w:color="auto"/>
            </w:tcBorders>
          </w:tcPr>
          <w:p w14:paraId="5FF0DABC" w14:textId="77777777" w:rsidR="00EB617B" w:rsidRPr="00F935F7" w:rsidRDefault="17021632" w:rsidP="00EB617B">
            <w:pPr>
              <w:pStyle w:val="anslagstabell"/>
              <w:keepNext w:val="0"/>
            </w:pPr>
            <w:r>
              <w:t>Differens i procent</w:t>
            </w:r>
          </w:p>
        </w:tc>
        <w:tc>
          <w:tcPr>
            <w:tcW w:w="673" w:type="pct"/>
            <w:tcBorders>
              <w:bottom w:val="single" w:sz="4" w:space="0" w:color="auto"/>
            </w:tcBorders>
          </w:tcPr>
          <w:p w14:paraId="3604568F" w14:textId="72E2F3C4" w:rsidR="00EB617B" w:rsidRPr="001701F3" w:rsidRDefault="17021632" w:rsidP="00EB617B">
            <w:pPr>
              <w:pStyle w:val="anslagstabell-hgerstlld"/>
            </w:pPr>
            <w:r>
              <w:t>+0,5</w:t>
            </w:r>
          </w:p>
        </w:tc>
        <w:tc>
          <w:tcPr>
            <w:tcW w:w="673" w:type="pct"/>
            <w:tcBorders>
              <w:bottom w:val="single" w:sz="4" w:space="0" w:color="auto"/>
            </w:tcBorders>
          </w:tcPr>
          <w:p w14:paraId="5F7973E1" w14:textId="664BC22F" w:rsidR="00EB617B" w:rsidRPr="001701F3" w:rsidRDefault="17021632" w:rsidP="00EB617B">
            <w:pPr>
              <w:pStyle w:val="anslagstabell-hgerstlld"/>
            </w:pPr>
            <w:r>
              <w:t>+0,3</w:t>
            </w:r>
          </w:p>
        </w:tc>
        <w:tc>
          <w:tcPr>
            <w:tcW w:w="673" w:type="pct"/>
            <w:tcBorders>
              <w:bottom w:val="single" w:sz="4" w:space="0" w:color="auto"/>
            </w:tcBorders>
          </w:tcPr>
          <w:p w14:paraId="515F66F6" w14:textId="72FB13F2" w:rsidR="00EB617B" w:rsidRPr="001701F3" w:rsidRDefault="17021632" w:rsidP="00EB617B">
            <w:pPr>
              <w:pStyle w:val="anslagstabell-hgerstlld"/>
            </w:pPr>
            <w:r>
              <w:t>–0,5</w:t>
            </w:r>
          </w:p>
        </w:tc>
        <w:tc>
          <w:tcPr>
            <w:tcW w:w="673" w:type="pct"/>
            <w:tcBorders>
              <w:bottom w:val="single" w:sz="4" w:space="0" w:color="auto"/>
            </w:tcBorders>
          </w:tcPr>
          <w:p w14:paraId="53FDDE9B" w14:textId="180BE9D9" w:rsidR="00EB617B" w:rsidRPr="001701F3" w:rsidRDefault="17021632" w:rsidP="00EB617B">
            <w:pPr>
              <w:pStyle w:val="anslagstabell-hgerstlld"/>
            </w:pPr>
            <w:r>
              <w:t>–1,2</w:t>
            </w:r>
          </w:p>
        </w:tc>
        <w:tc>
          <w:tcPr>
            <w:tcW w:w="673" w:type="pct"/>
            <w:tcBorders>
              <w:bottom w:val="single" w:sz="4" w:space="0" w:color="auto"/>
            </w:tcBorders>
          </w:tcPr>
          <w:p w14:paraId="4D51C815" w14:textId="4BCA60FF" w:rsidR="00EB617B" w:rsidRPr="001701F3" w:rsidRDefault="17021632" w:rsidP="00EB617B">
            <w:pPr>
              <w:pStyle w:val="anslagstabell-hgerstlld"/>
            </w:pPr>
            <w:r>
              <w:t>–2,1</w:t>
            </w:r>
          </w:p>
        </w:tc>
      </w:tr>
    </w:tbl>
    <w:p w14:paraId="42BC6C6D" w14:textId="7D611623" w:rsidR="00070D54" w:rsidRDefault="00070D54" w:rsidP="00A62E49"/>
    <w:p w14:paraId="6ADF13A2" w14:textId="77777777" w:rsidR="00BB2467" w:rsidRPr="00B44852" w:rsidRDefault="17021632" w:rsidP="00BB2467">
      <w:pPr>
        <w:pStyle w:val="Rubrik4"/>
      </w:pPr>
      <w:r>
        <w:t>Ändrade makroekonomiska antaganden</w:t>
      </w:r>
    </w:p>
    <w:p w14:paraId="116B7D9D" w14:textId="3D164D6C" w:rsidR="00BB2467" w:rsidRDefault="17021632" w:rsidP="00BB2467">
      <w:r>
        <w:t xml:space="preserve">Prognosen för prisbasbeloppet har höjts för åren 2021–2022 jämfört med prognosen i föregående anslagsuppföljning. Eftersom skälig levnadsnivå är knuten till prisbasbeloppet har denna förändring haft en höjande effekt på utgiftsprognosen för dessa år. </w:t>
      </w:r>
    </w:p>
    <w:p w14:paraId="63BEB172" w14:textId="76B02C24" w:rsidR="00BB2467" w:rsidRPr="0093333C" w:rsidRDefault="00BB2467" w:rsidP="00BB2467">
      <w:r w:rsidRPr="0093333C">
        <w:rPr>
          <w:snapToGrid w:val="0"/>
        </w:rPr>
        <w:t>Konjunkturinstitutets prognos för förändri</w:t>
      </w:r>
      <w:r>
        <w:rPr>
          <w:snapToGrid w:val="0"/>
        </w:rPr>
        <w:t>ng av boende</w:t>
      </w:r>
      <w:r>
        <w:rPr>
          <w:snapToGrid w:val="0"/>
        </w:rPr>
        <w:softHyphen/>
        <w:t>kostnadsindex avse</w:t>
      </w:r>
      <w:r w:rsidRPr="0093333C">
        <w:rPr>
          <w:snapToGrid w:val="0"/>
        </w:rPr>
        <w:t xml:space="preserve">ende bostads- och hyresrätter är </w:t>
      </w:r>
      <w:r>
        <w:rPr>
          <w:snapToGrid w:val="0"/>
        </w:rPr>
        <w:t>höjd för 2020</w:t>
      </w:r>
      <w:r w:rsidRPr="0093333C">
        <w:rPr>
          <w:snapToGrid w:val="0"/>
        </w:rPr>
        <w:t xml:space="preserve"> jämfört med prognosen i </w:t>
      </w:r>
      <w:r>
        <w:rPr>
          <w:snapToGrid w:val="0"/>
        </w:rPr>
        <w:t>föregående anslagsuppföljning</w:t>
      </w:r>
      <w:r w:rsidRPr="0093333C">
        <w:rPr>
          <w:snapToGrid w:val="0"/>
        </w:rPr>
        <w:t xml:space="preserve">. Det har </w:t>
      </w:r>
      <w:r>
        <w:rPr>
          <w:snapToGrid w:val="0"/>
        </w:rPr>
        <w:t>haft en höjande</w:t>
      </w:r>
      <w:r w:rsidRPr="0093333C">
        <w:rPr>
          <w:snapToGrid w:val="0"/>
        </w:rPr>
        <w:t xml:space="preserve"> effekt på utgiftsprognosen för</w:t>
      </w:r>
      <w:r w:rsidRPr="7B589441">
        <w:t xml:space="preserve"> </w:t>
      </w:r>
      <w:r w:rsidRPr="0093333C">
        <w:rPr>
          <w:snapToGrid w:val="0"/>
        </w:rPr>
        <w:t>åren</w:t>
      </w:r>
      <w:r>
        <w:rPr>
          <w:snapToGrid w:val="0"/>
        </w:rPr>
        <w:t xml:space="preserve"> 2020</w:t>
      </w:r>
      <w:r w:rsidRPr="7B589441">
        <w:t xml:space="preserve">. </w:t>
      </w:r>
      <w:r w:rsidR="00591006">
        <w:rPr>
          <w:snapToGrid w:val="0"/>
        </w:rPr>
        <w:t>För år 2021 är prognosen för förändring av boende</w:t>
      </w:r>
      <w:r w:rsidR="00591006">
        <w:rPr>
          <w:snapToGrid w:val="0"/>
        </w:rPr>
        <w:softHyphen/>
        <w:t>kostnadsindex avse</w:t>
      </w:r>
      <w:r w:rsidR="00591006">
        <w:rPr>
          <w:snapToGrid w:val="0"/>
        </w:rPr>
        <w:softHyphen/>
        <w:t xml:space="preserve">ende bostads- och hyresrätter sänkt jämfört med prognosen i föregående anslagsuppföljning. Det har haft en sänkande effekt på utgiftsprognosen för åren </w:t>
      </w:r>
      <w:r w:rsidR="00325ECC">
        <w:rPr>
          <w:snapToGrid w:val="0"/>
        </w:rPr>
        <w:t>2021–2023</w:t>
      </w:r>
      <w:r w:rsidR="00591006" w:rsidRPr="17021632">
        <w:t>.</w:t>
      </w:r>
    </w:p>
    <w:p w14:paraId="2C35810C" w14:textId="77777777" w:rsidR="00BB2467" w:rsidRPr="00B44852" w:rsidRDefault="17021632" w:rsidP="00BB2467">
      <w:pPr>
        <w:pStyle w:val="Rubrik4"/>
      </w:pPr>
      <w:r>
        <w:t>Volym- och strukturförändringar</w:t>
      </w:r>
    </w:p>
    <w:p w14:paraId="35D94925" w14:textId="3EB5AE5F" w:rsidR="00BB2467" w:rsidRDefault="17021632" w:rsidP="00BB2467">
      <w:r>
        <w:t xml:space="preserve">Antalet förmånstagare har under de senaste månaderna varit högre jämfört med vad som prognostiserades i föregående anslagsuppföljning. Antalet förmånstagare har justerats upp för år 2019–2020 jämfört med föregående prognos. Antalet förmånstagare med höga belopp har sänkts jämfört med föregående anslagsuppföljning. Utgiftsprognosen för åren 2021–2023 har av den anledningen sänkts jämfört med föregående anslagsuppföljning. </w:t>
      </w:r>
    </w:p>
    <w:p w14:paraId="2DFA2338" w14:textId="77777777" w:rsidR="00BB2467" w:rsidRDefault="00BB2467" w:rsidP="00BB2467"/>
    <w:p w14:paraId="1E3E257F" w14:textId="77777777" w:rsidR="005C58EB" w:rsidRPr="00976CD1" w:rsidRDefault="002A1C0C" w:rsidP="005C58EB">
      <w:pPr>
        <w:pStyle w:val="anslagspostrubrik"/>
      </w:pPr>
      <w:bookmarkStart w:id="11" w:name="_Toc221685256"/>
      <w:r>
        <w:lastRenderedPageBreak/>
        <w:t>12.1</w:t>
      </w:r>
      <w:r w:rsidR="005C58EB">
        <w:t>:5</w:t>
      </w:r>
      <w:r w:rsidR="005C58EB">
        <w:tab/>
        <w:t>Barnpension och efterlevandestöd</w:t>
      </w:r>
      <w:bookmarkEnd w:id="11"/>
    </w:p>
    <w:p w14:paraId="513132FB" w14:textId="3CF99311" w:rsidR="005C58EB" w:rsidRDefault="17021632" w:rsidP="005C58EB">
      <w:pPr>
        <w:keepNext/>
      </w:pPr>
      <w:r>
        <w:t>I tabellen nedan görs en jämförelse med föregående prognos som lämnades till regeringen i oktober 2019.</w:t>
      </w:r>
    </w:p>
    <w:p w14:paraId="677DA9B6" w14:textId="203DB5B8" w:rsidR="00A62E49" w:rsidRDefault="00A62E49" w:rsidP="005C58EB">
      <w:pPr>
        <w:keepNext/>
      </w:pPr>
    </w:p>
    <w:p w14:paraId="10093097" w14:textId="77777777" w:rsidR="00D14B5D" w:rsidRPr="00A01D93" w:rsidRDefault="17021632" w:rsidP="00D14B5D">
      <w:pPr>
        <w:keepNext/>
      </w:pPr>
      <w:r w:rsidRPr="17021632">
        <w:rPr>
          <w:rStyle w:val="versikt-fet"/>
        </w:rPr>
        <w:t>Prognosjämförelse.</w:t>
      </w:r>
      <w:r>
        <w:t xml:space="preserve"> Beloppen anges i 1000-tal kronor </w:t>
      </w:r>
    </w:p>
    <w:tbl>
      <w:tblPr>
        <w:tblW w:w="5099" w:type="pct"/>
        <w:tblCellMar>
          <w:left w:w="70" w:type="dxa"/>
          <w:right w:w="70" w:type="dxa"/>
        </w:tblCellMar>
        <w:tblLook w:val="0000" w:firstRow="0" w:lastRow="0" w:firstColumn="0" w:lastColumn="0" w:noHBand="0" w:noVBand="0"/>
      </w:tblPr>
      <w:tblGrid>
        <w:gridCol w:w="2458"/>
        <w:gridCol w:w="1012"/>
        <w:gridCol w:w="1012"/>
        <w:gridCol w:w="1012"/>
        <w:gridCol w:w="1012"/>
        <w:gridCol w:w="1010"/>
      </w:tblGrid>
      <w:tr w:rsidR="00D14B5D" w:rsidRPr="00B44852" w14:paraId="5BD87F73" w14:textId="77777777" w:rsidTr="006951BF">
        <w:trPr>
          <w:trHeight w:val="271"/>
        </w:trPr>
        <w:tc>
          <w:tcPr>
            <w:tcW w:w="1636" w:type="pct"/>
            <w:tcBorders>
              <w:top w:val="single" w:sz="4" w:space="0" w:color="auto"/>
              <w:bottom w:val="single" w:sz="4" w:space="0" w:color="auto"/>
            </w:tcBorders>
          </w:tcPr>
          <w:p w14:paraId="4B99C1DC" w14:textId="77777777" w:rsidR="00D14B5D" w:rsidRPr="00B44852" w:rsidRDefault="00D14B5D" w:rsidP="00EB617B">
            <w:pPr>
              <w:pStyle w:val="anslagstabell"/>
              <w:jc w:val="center"/>
              <w:rPr>
                <w:b/>
              </w:rPr>
            </w:pPr>
          </w:p>
        </w:tc>
        <w:tc>
          <w:tcPr>
            <w:tcW w:w="673" w:type="pct"/>
            <w:tcBorders>
              <w:top w:val="single" w:sz="4" w:space="0" w:color="auto"/>
              <w:bottom w:val="single" w:sz="4" w:space="0" w:color="auto"/>
            </w:tcBorders>
          </w:tcPr>
          <w:p w14:paraId="64AEE6D1" w14:textId="77777777" w:rsidR="00D14B5D" w:rsidRPr="00B44852" w:rsidRDefault="17021632" w:rsidP="17021632">
            <w:pPr>
              <w:pStyle w:val="anslagstabell"/>
              <w:jc w:val="center"/>
              <w:rPr>
                <w:b/>
                <w:bCs/>
              </w:rPr>
            </w:pPr>
            <w:r w:rsidRPr="17021632">
              <w:rPr>
                <w:b/>
                <w:bCs/>
              </w:rPr>
              <w:t>2019</w:t>
            </w:r>
          </w:p>
        </w:tc>
        <w:tc>
          <w:tcPr>
            <w:tcW w:w="673" w:type="pct"/>
            <w:tcBorders>
              <w:top w:val="single" w:sz="4" w:space="0" w:color="auto"/>
              <w:bottom w:val="single" w:sz="4" w:space="0" w:color="auto"/>
            </w:tcBorders>
          </w:tcPr>
          <w:p w14:paraId="24D9CE39" w14:textId="77777777" w:rsidR="00D14B5D" w:rsidRDefault="17021632" w:rsidP="17021632">
            <w:pPr>
              <w:pStyle w:val="anslagstabell"/>
              <w:jc w:val="center"/>
              <w:rPr>
                <w:b/>
                <w:bCs/>
              </w:rPr>
            </w:pPr>
            <w:r w:rsidRPr="17021632">
              <w:rPr>
                <w:b/>
                <w:bCs/>
              </w:rPr>
              <w:t>2020</w:t>
            </w:r>
          </w:p>
        </w:tc>
        <w:tc>
          <w:tcPr>
            <w:tcW w:w="673" w:type="pct"/>
            <w:tcBorders>
              <w:top w:val="single" w:sz="4" w:space="0" w:color="auto"/>
              <w:bottom w:val="single" w:sz="4" w:space="0" w:color="auto"/>
            </w:tcBorders>
          </w:tcPr>
          <w:p w14:paraId="52C92291" w14:textId="77777777" w:rsidR="00D14B5D" w:rsidRDefault="17021632" w:rsidP="17021632">
            <w:pPr>
              <w:pStyle w:val="anslagstabell"/>
              <w:jc w:val="center"/>
              <w:rPr>
                <w:b/>
                <w:bCs/>
              </w:rPr>
            </w:pPr>
            <w:r w:rsidRPr="17021632">
              <w:rPr>
                <w:b/>
                <w:bCs/>
              </w:rPr>
              <w:t>2021</w:t>
            </w:r>
          </w:p>
        </w:tc>
        <w:tc>
          <w:tcPr>
            <w:tcW w:w="673" w:type="pct"/>
            <w:tcBorders>
              <w:top w:val="single" w:sz="4" w:space="0" w:color="auto"/>
              <w:bottom w:val="single" w:sz="4" w:space="0" w:color="auto"/>
            </w:tcBorders>
          </w:tcPr>
          <w:p w14:paraId="094007EB" w14:textId="77777777" w:rsidR="00D14B5D" w:rsidRDefault="17021632" w:rsidP="17021632">
            <w:pPr>
              <w:pStyle w:val="anslagstabell"/>
              <w:jc w:val="center"/>
              <w:rPr>
                <w:b/>
                <w:bCs/>
              </w:rPr>
            </w:pPr>
            <w:r w:rsidRPr="17021632">
              <w:rPr>
                <w:b/>
                <w:bCs/>
              </w:rPr>
              <w:t>2022</w:t>
            </w:r>
          </w:p>
        </w:tc>
        <w:tc>
          <w:tcPr>
            <w:tcW w:w="673" w:type="pct"/>
            <w:tcBorders>
              <w:top w:val="single" w:sz="4" w:space="0" w:color="auto"/>
              <w:bottom w:val="single" w:sz="4" w:space="0" w:color="auto"/>
            </w:tcBorders>
          </w:tcPr>
          <w:p w14:paraId="787C83C8" w14:textId="77777777" w:rsidR="00D14B5D" w:rsidRDefault="17021632" w:rsidP="17021632">
            <w:pPr>
              <w:pStyle w:val="anslagstabell"/>
              <w:jc w:val="center"/>
              <w:rPr>
                <w:b/>
                <w:bCs/>
              </w:rPr>
            </w:pPr>
            <w:r w:rsidRPr="17021632">
              <w:rPr>
                <w:b/>
                <w:bCs/>
              </w:rPr>
              <w:t>2023</w:t>
            </w:r>
          </w:p>
        </w:tc>
      </w:tr>
      <w:tr w:rsidR="00EB617B" w:rsidRPr="00E81B3C" w14:paraId="2AAFF04B" w14:textId="77777777" w:rsidTr="006951BF">
        <w:trPr>
          <w:trHeight w:val="472"/>
        </w:trPr>
        <w:tc>
          <w:tcPr>
            <w:tcW w:w="1636" w:type="pct"/>
            <w:tcBorders>
              <w:top w:val="single" w:sz="4" w:space="0" w:color="auto"/>
            </w:tcBorders>
          </w:tcPr>
          <w:p w14:paraId="1B9E38EB" w14:textId="77777777" w:rsidR="00EB617B" w:rsidRPr="008244FA" w:rsidRDefault="17021632" w:rsidP="17021632">
            <w:pPr>
              <w:pStyle w:val="anslagstabell"/>
              <w:rPr>
                <w:b/>
                <w:bCs/>
              </w:rPr>
            </w:pPr>
            <w:r w:rsidRPr="17021632">
              <w:rPr>
                <w:b/>
                <w:bCs/>
              </w:rPr>
              <w:t>Föregående prognos</w:t>
            </w:r>
          </w:p>
        </w:tc>
        <w:tc>
          <w:tcPr>
            <w:tcW w:w="673" w:type="pct"/>
            <w:tcBorders>
              <w:top w:val="single" w:sz="4" w:space="0" w:color="auto"/>
            </w:tcBorders>
          </w:tcPr>
          <w:p w14:paraId="1FFA568E" w14:textId="56BB06BE" w:rsidR="00EB617B" w:rsidRPr="00012A3A" w:rsidRDefault="17021632" w:rsidP="17021632">
            <w:pPr>
              <w:pStyle w:val="anslagstabell-hgerstlld"/>
              <w:rPr>
                <w:b/>
                <w:bCs/>
              </w:rPr>
            </w:pPr>
            <w:r w:rsidRPr="17021632">
              <w:rPr>
                <w:b/>
                <w:bCs/>
              </w:rPr>
              <w:t xml:space="preserve"> 995 700</w:t>
            </w:r>
          </w:p>
        </w:tc>
        <w:tc>
          <w:tcPr>
            <w:tcW w:w="673" w:type="pct"/>
            <w:tcBorders>
              <w:top w:val="single" w:sz="4" w:space="0" w:color="auto"/>
            </w:tcBorders>
          </w:tcPr>
          <w:p w14:paraId="61D74E7D" w14:textId="5FFE849B" w:rsidR="00EB617B" w:rsidRPr="00012A3A" w:rsidRDefault="17021632" w:rsidP="17021632">
            <w:pPr>
              <w:pStyle w:val="anslagstabell-hgerstlld"/>
              <w:rPr>
                <w:b/>
                <w:bCs/>
              </w:rPr>
            </w:pPr>
            <w:r w:rsidRPr="17021632">
              <w:rPr>
                <w:b/>
                <w:bCs/>
              </w:rPr>
              <w:t>996 000</w:t>
            </w:r>
          </w:p>
        </w:tc>
        <w:tc>
          <w:tcPr>
            <w:tcW w:w="673" w:type="pct"/>
            <w:tcBorders>
              <w:top w:val="single" w:sz="4" w:space="0" w:color="auto"/>
            </w:tcBorders>
          </w:tcPr>
          <w:p w14:paraId="1BEB0780" w14:textId="4232297E" w:rsidR="00EB617B" w:rsidRPr="00012A3A" w:rsidRDefault="17021632" w:rsidP="17021632">
            <w:pPr>
              <w:pStyle w:val="anslagstabell-hgerstlld"/>
              <w:rPr>
                <w:b/>
                <w:bCs/>
              </w:rPr>
            </w:pPr>
            <w:r w:rsidRPr="17021632">
              <w:rPr>
                <w:b/>
                <w:bCs/>
              </w:rPr>
              <w:t>1 009 500</w:t>
            </w:r>
          </w:p>
        </w:tc>
        <w:tc>
          <w:tcPr>
            <w:tcW w:w="673" w:type="pct"/>
            <w:tcBorders>
              <w:top w:val="single" w:sz="4" w:space="0" w:color="auto"/>
            </w:tcBorders>
          </w:tcPr>
          <w:p w14:paraId="228B772B" w14:textId="196E91EE" w:rsidR="00EB617B" w:rsidRPr="00012A3A" w:rsidRDefault="17021632" w:rsidP="17021632">
            <w:pPr>
              <w:pStyle w:val="anslagstabell-hgerstlld"/>
              <w:rPr>
                <w:b/>
                <w:bCs/>
              </w:rPr>
            </w:pPr>
            <w:r w:rsidRPr="17021632">
              <w:rPr>
                <w:b/>
                <w:bCs/>
              </w:rPr>
              <w:t>1 027 400</w:t>
            </w:r>
          </w:p>
        </w:tc>
        <w:tc>
          <w:tcPr>
            <w:tcW w:w="673" w:type="pct"/>
            <w:tcBorders>
              <w:top w:val="single" w:sz="4" w:space="0" w:color="auto"/>
            </w:tcBorders>
          </w:tcPr>
          <w:p w14:paraId="5B6772E7" w14:textId="41E1120E" w:rsidR="00EB617B" w:rsidRPr="00012A3A" w:rsidRDefault="17021632" w:rsidP="17021632">
            <w:pPr>
              <w:pStyle w:val="anslagstabell-hgerstlld"/>
              <w:rPr>
                <w:b/>
                <w:bCs/>
              </w:rPr>
            </w:pPr>
            <w:r w:rsidRPr="17021632">
              <w:rPr>
                <w:b/>
                <w:bCs/>
              </w:rPr>
              <w:t>1 049 800</w:t>
            </w:r>
          </w:p>
        </w:tc>
      </w:tr>
      <w:tr w:rsidR="00EB617B" w:rsidRPr="00E81B3C" w14:paraId="7C823BCE" w14:textId="77777777" w:rsidTr="006951BF">
        <w:trPr>
          <w:trHeight w:val="472"/>
        </w:trPr>
        <w:tc>
          <w:tcPr>
            <w:tcW w:w="1636" w:type="pct"/>
          </w:tcPr>
          <w:p w14:paraId="3AA2480F" w14:textId="77777777" w:rsidR="00EB617B" w:rsidRPr="00B44852" w:rsidRDefault="17021632" w:rsidP="00EB617B">
            <w:pPr>
              <w:pStyle w:val="anslagstabell"/>
            </w:pPr>
            <w:r>
              <w:t>Överföring till/från andra anslag</w:t>
            </w:r>
          </w:p>
        </w:tc>
        <w:tc>
          <w:tcPr>
            <w:tcW w:w="673" w:type="pct"/>
          </w:tcPr>
          <w:p w14:paraId="7EB346FB" w14:textId="77777777" w:rsidR="00EB617B" w:rsidRPr="00E81B3C" w:rsidRDefault="00EB617B" w:rsidP="00EB617B">
            <w:pPr>
              <w:pStyle w:val="anslagstabell-hgerstlld"/>
              <w:rPr>
                <w:color w:val="FF0000"/>
              </w:rPr>
            </w:pPr>
          </w:p>
        </w:tc>
        <w:tc>
          <w:tcPr>
            <w:tcW w:w="673" w:type="pct"/>
          </w:tcPr>
          <w:p w14:paraId="3EB6FBBA" w14:textId="77777777" w:rsidR="00EB617B" w:rsidRPr="00E81B3C" w:rsidRDefault="00EB617B" w:rsidP="00EB617B">
            <w:pPr>
              <w:pStyle w:val="anslagstabell-hgerstlld"/>
              <w:rPr>
                <w:color w:val="FF0000"/>
              </w:rPr>
            </w:pPr>
          </w:p>
        </w:tc>
        <w:tc>
          <w:tcPr>
            <w:tcW w:w="673" w:type="pct"/>
          </w:tcPr>
          <w:p w14:paraId="0CE3E1D2" w14:textId="77777777" w:rsidR="00EB617B" w:rsidRPr="00E81B3C" w:rsidRDefault="00EB617B" w:rsidP="00EB617B">
            <w:pPr>
              <w:pStyle w:val="anslagstabell-hgerstlld"/>
              <w:rPr>
                <w:color w:val="FF0000"/>
              </w:rPr>
            </w:pPr>
          </w:p>
        </w:tc>
        <w:tc>
          <w:tcPr>
            <w:tcW w:w="673" w:type="pct"/>
          </w:tcPr>
          <w:p w14:paraId="1D5AE133" w14:textId="77777777" w:rsidR="00EB617B" w:rsidRPr="00E81B3C" w:rsidRDefault="00EB617B" w:rsidP="00EB617B">
            <w:pPr>
              <w:pStyle w:val="anslagstabell-hgerstlld"/>
              <w:rPr>
                <w:color w:val="FF0000"/>
              </w:rPr>
            </w:pPr>
          </w:p>
        </w:tc>
        <w:tc>
          <w:tcPr>
            <w:tcW w:w="673" w:type="pct"/>
          </w:tcPr>
          <w:p w14:paraId="427E25F0" w14:textId="77777777" w:rsidR="00EB617B" w:rsidRPr="00E81B3C" w:rsidRDefault="00EB617B" w:rsidP="00EB617B">
            <w:pPr>
              <w:pStyle w:val="anslagstabell-hgerstlld"/>
              <w:rPr>
                <w:color w:val="FF0000"/>
              </w:rPr>
            </w:pPr>
          </w:p>
        </w:tc>
      </w:tr>
      <w:tr w:rsidR="00EB617B" w:rsidRPr="00E81B3C" w14:paraId="57D0F358" w14:textId="77777777" w:rsidTr="006951BF">
        <w:trPr>
          <w:trHeight w:val="482"/>
        </w:trPr>
        <w:tc>
          <w:tcPr>
            <w:tcW w:w="1636" w:type="pct"/>
          </w:tcPr>
          <w:p w14:paraId="2B3D42F3" w14:textId="77777777" w:rsidR="00EB617B" w:rsidRPr="00B44852" w:rsidRDefault="17021632" w:rsidP="00EB617B">
            <w:pPr>
              <w:pStyle w:val="anslagstabell"/>
            </w:pPr>
            <w:r>
              <w:t>Ändrade makroekonomiska antaganden</w:t>
            </w:r>
          </w:p>
        </w:tc>
        <w:tc>
          <w:tcPr>
            <w:tcW w:w="673" w:type="pct"/>
          </w:tcPr>
          <w:p w14:paraId="683E3A85" w14:textId="77777777" w:rsidR="00EB617B" w:rsidRPr="00E81B3C" w:rsidRDefault="00EB617B" w:rsidP="00EB617B">
            <w:pPr>
              <w:pStyle w:val="anslagstabell-hgerstlld"/>
              <w:rPr>
                <w:color w:val="FF0000"/>
              </w:rPr>
            </w:pPr>
          </w:p>
        </w:tc>
        <w:tc>
          <w:tcPr>
            <w:tcW w:w="673" w:type="pct"/>
          </w:tcPr>
          <w:p w14:paraId="3657DCC7" w14:textId="77777777" w:rsidR="00EB617B" w:rsidRPr="00E81B3C" w:rsidRDefault="00EB617B" w:rsidP="00EB617B">
            <w:pPr>
              <w:pStyle w:val="anslagstabell-hgerstlld"/>
            </w:pPr>
          </w:p>
        </w:tc>
        <w:tc>
          <w:tcPr>
            <w:tcW w:w="673" w:type="pct"/>
          </w:tcPr>
          <w:p w14:paraId="63BD9DAD" w14:textId="70298062" w:rsidR="00EB617B" w:rsidRPr="00E81B3C" w:rsidRDefault="17021632" w:rsidP="00EB617B">
            <w:pPr>
              <w:pStyle w:val="anslagstabell-hgerstlld"/>
            </w:pPr>
            <w:r>
              <w:t>+500</w:t>
            </w:r>
          </w:p>
        </w:tc>
        <w:tc>
          <w:tcPr>
            <w:tcW w:w="673" w:type="pct"/>
          </w:tcPr>
          <w:p w14:paraId="7C56D873" w14:textId="760452B9" w:rsidR="00EB617B" w:rsidRPr="00E81B3C" w:rsidRDefault="17021632" w:rsidP="00EB617B">
            <w:pPr>
              <w:pStyle w:val="anslagstabell-hgerstlld"/>
            </w:pPr>
            <w:r>
              <w:t>+1 600</w:t>
            </w:r>
          </w:p>
        </w:tc>
        <w:tc>
          <w:tcPr>
            <w:tcW w:w="673" w:type="pct"/>
          </w:tcPr>
          <w:p w14:paraId="2ABAB57B" w14:textId="670A3792" w:rsidR="00EB617B" w:rsidRPr="00E81B3C" w:rsidRDefault="17021632" w:rsidP="00EB617B">
            <w:pPr>
              <w:pStyle w:val="anslagstabell-hgerstlld"/>
            </w:pPr>
            <w:r>
              <w:t>+1 100</w:t>
            </w:r>
          </w:p>
        </w:tc>
      </w:tr>
      <w:tr w:rsidR="00EB617B" w:rsidRPr="00E81B3C" w14:paraId="7EE65E3B" w14:textId="77777777" w:rsidTr="006951BF">
        <w:trPr>
          <w:trHeight w:val="472"/>
        </w:trPr>
        <w:tc>
          <w:tcPr>
            <w:tcW w:w="1636" w:type="pct"/>
          </w:tcPr>
          <w:p w14:paraId="061451A3" w14:textId="77777777" w:rsidR="00EB617B" w:rsidRPr="00B44852" w:rsidRDefault="17021632" w:rsidP="00EB617B">
            <w:pPr>
              <w:pStyle w:val="anslagstabell"/>
            </w:pPr>
            <w:r>
              <w:t>Volym- och strukturförändringar</w:t>
            </w:r>
          </w:p>
        </w:tc>
        <w:tc>
          <w:tcPr>
            <w:tcW w:w="673" w:type="pct"/>
          </w:tcPr>
          <w:p w14:paraId="548C8573" w14:textId="59FFE190" w:rsidR="00EB617B" w:rsidRPr="001701F3" w:rsidRDefault="17021632" w:rsidP="00EB617B">
            <w:pPr>
              <w:pStyle w:val="anslagstabell-hgerstlld"/>
            </w:pPr>
            <w:r>
              <w:t>+1 504</w:t>
            </w:r>
          </w:p>
        </w:tc>
        <w:tc>
          <w:tcPr>
            <w:tcW w:w="673" w:type="pct"/>
          </w:tcPr>
          <w:p w14:paraId="2DE85F33" w14:textId="69C79E57" w:rsidR="00EB617B" w:rsidRPr="001701F3" w:rsidRDefault="17021632" w:rsidP="00EB617B">
            <w:pPr>
              <w:pStyle w:val="anslagstabell-hgerstlld"/>
            </w:pPr>
            <w:r>
              <w:t>+17 100</w:t>
            </w:r>
          </w:p>
        </w:tc>
        <w:tc>
          <w:tcPr>
            <w:tcW w:w="673" w:type="pct"/>
          </w:tcPr>
          <w:p w14:paraId="4698F9E0" w14:textId="6C55A73D" w:rsidR="00EB617B" w:rsidRPr="001701F3" w:rsidRDefault="17021632" w:rsidP="00EB617B">
            <w:pPr>
              <w:pStyle w:val="anslagstabell-hgerstlld"/>
            </w:pPr>
            <w:r>
              <w:t>+10 300</w:t>
            </w:r>
          </w:p>
        </w:tc>
        <w:tc>
          <w:tcPr>
            <w:tcW w:w="673" w:type="pct"/>
          </w:tcPr>
          <w:p w14:paraId="75B6D1C0" w14:textId="71F0BF81" w:rsidR="00EB617B" w:rsidRPr="001701F3" w:rsidRDefault="17021632" w:rsidP="00EB617B">
            <w:pPr>
              <w:pStyle w:val="anslagstabell-hgerstlld"/>
            </w:pPr>
            <w:r>
              <w:t>+21 100</w:t>
            </w:r>
          </w:p>
        </w:tc>
        <w:tc>
          <w:tcPr>
            <w:tcW w:w="673" w:type="pct"/>
          </w:tcPr>
          <w:p w14:paraId="0199A89E" w14:textId="11B22CA1" w:rsidR="00EB617B" w:rsidRPr="001701F3" w:rsidRDefault="17021632" w:rsidP="00EB617B">
            <w:pPr>
              <w:pStyle w:val="anslagstabell-hgerstlld"/>
            </w:pPr>
            <w:r>
              <w:t>+32 600</w:t>
            </w:r>
          </w:p>
        </w:tc>
      </w:tr>
      <w:tr w:rsidR="00EB617B" w:rsidRPr="00E81B3C" w14:paraId="064CA630" w14:textId="77777777" w:rsidTr="006951BF">
        <w:trPr>
          <w:trHeight w:val="271"/>
        </w:trPr>
        <w:tc>
          <w:tcPr>
            <w:tcW w:w="1636" w:type="pct"/>
          </w:tcPr>
          <w:p w14:paraId="66B9FD69" w14:textId="77777777" w:rsidR="00EB617B" w:rsidRPr="00B44852" w:rsidRDefault="17021632" w:rsidP="00EB617B">
            <w:pPr>
              <w:pStyle w:val="anslagstabell"/>
            </w:pPr>
            <w:r>
              <w:t>Ny regeländring</w:t>
            </w:r>
          </w:p>
        </w:tc>
        <w:tc>
          <w:tcPr>
            <w:tcW w:w="673" w:type="pct"/>
          </w:tcPr>
          <w:p w14:paraId="083B93D1" w14:textId="77777777" w:rsidR="00EB617B" w:rsidRPr="00E81B3C" w:rsidRDefault="00EB617B" w:rsidP="00EB617B">
            <w:pPr>
              <w:pStyle w:val="anslagstabell-hgerstlld"/>
              <w:rPr>
                <w:color w:val="FF0000"/>
              </w:rPr>
            </w:pPr>
          </w:p>
        </w:tc>
        <w:tc>
          <w:tcPr>
            <w:tcW w:w="673" w:type="pct"/>
          </w:tcPr>
          <w:p w14:paraId="70A27743" w14:textId="77777777" w:rsidR="00EB617B" w:rsidRPr="00E81B3C" w:rsidRDefault="00EB617B" w:rsidP="00EB617B">
            <w:pPr>
              <w:pStyle w:val="anslagstabell-hgerstlld"/>
              <w:rPr>
                <w:color w:val="FF0000"/>
              </w:rPr>
            </w:pPr>
          </w:p>
        </w:tc>
        <w:tc>
          <w:tcPr>
            <w:tcW w:w="673" w:type="pct"/>
          </w:tcPr>
          <w:p w14:paraId="23C64A57" w14:textId="77777777" w:rsidR="00EB617B" w:rsidRPr="00E81B3C" w:rsidRDefault="00EB617B" w:rsidP="00EB617B">
            <w:pPr>
              <w:pStyle w:val="anslagstabell-hgerstlld"/>
              <w:rPr>
                <w:color w:val="FF0000"/>
              </w:rPr>
            </w:pPr>
          </w:p>
        </w:tc>
        <w:tc>
          <w:tcPr>
            <w:tcW w:w="673" w:type="pct"/>
          </w:tcPr>
          <w:p w14:paraId="091EAEF8" w14:textId="77777777" w:rsidR="00EB617B" w:rsidRPr="00E81B3C" w:rsidRDefault="00EB617B" w:rsidP="00EB617B">
            <w:pPr>
              <w:pStyle w:val="anslagstabell-hgerstlld"/>
              <w:rPr>
                <w:color w:val="FF0000"/>
              </w:rPr>
            </w:pPr>
          </w:p>
        </w:tc>
        <w:tc>
          <w:tcPr>
            <w:tcW w:w="673" w:type="pct"/>
          </w:tcPr>
          <w:p w14:paraId="792B1EE1" w14:textId="77777777" w:rsidR="00EB617B" w:rsidRPr="00E81B3C" w:rsidRDefault="00EB617B" w:rsidP="00EB617B">
            <w:pPr>
              <w:pStyle w:val="anslagstabell-hgerstlld"/>
              <w:rPr>
                <w:color w:val="FF0000"/>
              </w:rPr>
            </w:pPr>
          </w:p>
        </w:tc>
      </w:tr>
      <w:tr w:rsidR="00EB617B" w:rsidRPr="00E81B3C" w14:paraId="50478EDF" w14:textId="77777777" w:rsidTr="006951BF">
        <w:trPr>
          <w:trHeight w:val="271"/>
        </w:trPr>
        <w:tc>
          <w:tcPr>
            <w:tcW w:w="1636" w:type="pct"/>
          </w:tcPr>
          <w:p w14:paraId="45902A12" w14:textId="77777777" w:rsidR="00EB617B" w:rsidRPr="00B44852" w:rsidRDefault="17021632" w:rsidP="00EB617B">
            <w:pPr>
              <w:pStyle w:val="anslagstabell"/>
            </w:pPr>
            <w:r>
              <w:t>Övrigt</w:t>
            </w:r>
          </w:p>
        </w:tc>
        <w:tc>
          <w:tcPr>
            <w:tcW w:w="673" w:type="pct"/>
          </w:tcPr>
          <w:p w14:paraId="46AADBF1" w14:textId="77777777" w:rsidR="00EB617B" w:rsidRPr="00E81B3C" w:rsidRDefault="00EB617B" w:rsidP="00EB617B">
            <w:pPr>
              <w:pStyle w:val="anslagstabell-hgerstlld"/>
              <w:rPr>
                <w:color w:val="FF0000"/>
              </w:rPr>
            </w:pPr>
          </w:p>
        </w:tc>
        <w:tc>
          <w:tcPr>
            <w:tcW w:w="673" w:type="pct"/>
          </w:tcPr>
          <w:p w14:paraId="23C47981" w14:textId="77777777" w:rsidR="00EB617B" w:rsidRPr="00E81B3C" w:rsidRDefault="00EB617B" w:rsidP="00EB617B">
            <w:pPr>
              <w:pStyle w:val="anslagstabell-hgerstlld"/>
              <w:rPr>
                <w:color w:val="FF0000"/>
              </w:rPr>
            </w:pPr>
          </w:p>
        </w:tc>
        <w:tc>
          <w:tcPr>
            <w:tcW w:w="673" w:type="pct"/>
          </w:tcPr>
          <w:p w14:paraId="4376123E" w14:textId="77777777" w:rsidR="00EB617B" w:rsidRPr="00E81B3C" w:rsidRDefault="00EB617B" w:rsidP="00EB617B">
            <w:pPr>
              <w:pStyle w:val="anslagstabell-hgerstlld"/>
              <w:rPr>
                <w:color w:val="FF0000"/>
              </w:rPr>
            </w:pPr>
          </w:p>
        </w:tc>
        <w:tc>
          <w:tcPr>
            <w:tcW w:w="673" w:type="pct"/>
          </w:tcPr>
          <w:p w14:paraId="23A6C033" w14:textId="77777777" w:rsidR="00EB617B" w:rsidRPr="00E81B3C" w:rsidRDefault="00EB617B" w:rsidP="00EB617B">
            <w:pPr>
              <w:pStyle w:val="anslagstabell-hgerstlld"/>
              <w:rPr>
                <w:color w:val="FF0000"/>
              </w:rPr>
            </w:pPr>
          </w:p>
        </w:tc>
        <w:tc>
          <w:tcPr>
            <w:tcW w:w="673" w:type="pct"/>
          </w:tcPr>
          <w:p w14:paraId="4F2818AD" w14:textId="77777777" w:rsidR="00EB617B" w:rsidRPr="00E81B3C" w:rsidRDefault="00EB617B" w:rsidP="00EB617B">
            <w:pPr>
              <w:pStyle w:val="anslagstabell-hgerstlld"/>
              <w:rPr>
                <w:color w:val="FF0000"/>
              </w:rPr>
            </w:pPr>
          </w:p>
        </w:tc>
      </w:tr>
      <w:tr w:rsidR="00EB617B" w:rsidRPr="00E81B3C" w14:paraId="5D1FC93B" w14:textId="77777777" w:rsidTr="006951BF">
        <w:trPr>
          <w:trHeight w:val="412"/>
        </w:trPr>
        <w:tc>
          <w:tcPr>
            <w:tcW w:w="1636" w:type="pct"/>
            <w:tcBorders>
              <w:bottom w:val="single" w:sz="4" w:space="0" w:color="auto"/>
            </w:tcBorders>
          </w:tcPr>
          <w:p w14:paraId="6440DBAC" w14:textId="77777777" w:rsidR="00EB617B" w:rsidRPr="008244FA" w:rsidRDefault="17021632" w:rsidP="17021632">
            <w:pPr>
              <w:pStyle w:val="anslagstabell"/>
              <w:rPr>
                <w:b/>
                <w:bCs/>
              </w:rPr>
            </w:pPr>
            <w:r w:rsidRPr="17021632">
              <w:rPr>
                <w:b/>
                <w:bCs/>
              </w:rPr>
              <w:t xml:space="preserve">Ny prognos </w:t>
            </w:r>
          </w:p>
        </w:tc>
        <w:tc>
          <w:tcPr>
            <w:tcW w:w="673" w:type="pct"/>
            <w:tcBorders>
              <w:bottom w:val="single" w:sz="4" w:space="0" w:color="auto"/>
            </w:tcBorders>
          </w:tcPr>
          <w:p w14:paraId="27384D72" w14:textId="01F84865" w:rsidR="00EB617B" w:rsidRPr="00E81B3C" w:rsidRDefault="17021632" w:rsidP="17021632">
            <w:pPr>
              <w:jc w:val="right"/>
              <w:rPr>
                <w:rFonts w:ascii="Arial" w:hAnsi="Arial" w:cs="Arial"/>
                <w:b/>
                <w:bCs/>
                <w:sz w:val="18"/>
                <w:szCs w:val="18"/>
                <w:lang w:eastAsia="en-US"/>
              </w:rPr>
            </w:pPr>
            <w:r w:rsidRPr="17021632">
              <w:rPr>
                <w:rFonts w:ascii="Arial" w:hAnsi="Arial" w:cs="Arial"/>
                <w:b/>
                <w:bCs/>
                <w:sz w:val="18"/>
                <w:szCs w:val="18"/>
                <w:lang w:eastAsia="en-US"/>
              </w:rPr>
              <w:t>997 204</w:t>
            </w:r>
          </w:p>
        </w:tc>
        <w:tc>
          <w:tcPr>
            <w:tcW w:w="673" w:type="pct"/>
            <w:tcBorders>
              <w:bottom w:val="single" w:sz="4" w:space="0" w:color="auto"/>
            </w:tcBorders>
          </w:tcPr>
          <w:p w14:paraId="35FFE0D6" w14:textId="111B2BEC" w:rsidR="00EB617B" w:rsidRPr="00E81B3C" w:rsidRDefault="17021632" w:rsidP="17021632">
            <w:pPr>
              <w:jc w:val="right"/>
              <w:rPr>
                <w:rFonts w:ascii="Arial" w:hAnsi="Arial" w:cs="Arial"/>
                <w:b/>
                <w:bCs/>
                <w:sz w:val="18"/>
                <w:szCs w:val="18"/>
                <w:lang w:eastAsia="en-US"/>
              </w:rPr>
            </w:pPr>
            <w:r w:rsidRPr="17021632">
              <w:rPr>
                <w:rFonts w:ascii="Arial" w:hAnsi="Arial" w:cs="Arial"/>
                <w:b/>
                <w:bCs/>
                <w:sz w:val="18"/>
                <w:szCs w:val="18"/>
                <w:lang w:eastAsia="en-US"/>
              </w:rPr>
              <w:t>1 013 100</w:t>
            </w:r>
          </w:p>
        </w:tc>
        <w:tc>
          <w:tcPr>
            <w:tcW w:w="673" w:type="pct"/>
            <w:tcBorders>
              <w:bottom w:val="single" w:sz="4" w:space="0" w:color="auto"/>
            </w:tcBorders>
          </w:tcPr>
          <w:p w14:paraId="34614417" w14:textId="780F5F03" w:rsidR="00EB617B" w:rsidRPr="00E81B3C" w:rsidRDefault="17021632" w:rsidP="17021632">
            <w:pPr>
              <w:jc w:val="right"/>
              <w:rPr>
                <w:rFonts w:ascii="Arial" w:hAnsi="Arial" w:cs="Arial"/>
                <w:b/>
                <w:bCs/>
                <w:sz w:val="18"/>
                <w:szCs w:val="18"/>
                <w:lang w:eastAsia="en-US"/>
              </w:rPr>
            </w:pPr>
            <w:r w:rsidRPr="17021632">
              <w:rPr>
                <w:rFonts w:ascii="Arial" w:hAnsi="Arial" w:cs="Arial"/>
                <w:b/>
                <w:bCs/>
                <w:sz w:val="18"/>
                <w:szCs w:val="18"/>
                <w:lang w:eastAsia="en-US"/>
              </w:rPr>
              <w:t>1 020 300</w:t>
            </w:r>
          </w:p>
        </w:tc>
        <w:tc>
          <w:tcPr>
            <w:tcW w:w="673" w:type="pct"/>
            <w:tcBorders>
              <w:bottom w:val="single" w:sz="4" w:space="0" w:color="auto"/>
            </w:tcBorders>
          </w:tcPr>
          <w:p w14:paraId="127DF1BD" w14:textId="0B9C35D5" w:rsidR="00EB617B" w:rsidRPr="00E81B3C" w:rsidRDefault="17021632" w:rsidP="17021632">
            <w:pPr>
              <w:jc w:val="right"/>
              <w:rPr>
                <w:rFonts w:ascii="Arial" w:hAnsi="Arial" w:cs="Arial"/>
                <w:b/>
                <w:bCs/>
                <w:sz w:val="18"/>
                <w:szCs w:val="18"/>
                <w:lang w:eastAsia="en-US"/>
              </w:rPr>
            </w:pPr>
            <w:r w:rsidRPr="17021632">
              <w:rPr>
                <w:rFonts w:ascii="Arial" w:hAnsi="Arial" w:cs="Arial"/>
                <w:b/>
                <w:bCs/>
                <w:sz w:val="18"/>
                <w:szCs w:val="18"/>
                <w:lang w:eastAsia="en-US"/>
              </w:rPr>
              <w:t>1 050 100</w:t>
            </w:r>
          </w:p>
        </w:tc>
        <w:tc>
          <w:tcPr>
            <w:tcW w:w="673" w:type="pct"/>
            <w:tcBorders>
              <w:bottom w:val="single" w:sz="4" w:space="0" w:color="auto"/>
            </w:tcBorders>
          </w:tcPr>
          <w:p w14:paraId="04AF88CD" w14:textId="68323CC2" w:rsidR="00EB617B" w:rsidRPr="00E81B3C" w:rsidRDefault="17021632" w:rsidP="17021632">
            <w:pPr>
              <w:jc w:val="right"/>
              <w:rPr>
                <w:rFonts w:ascii="Arial" w:hAnsi="Arial" w:cs="Arial"/>
                <w:b/>
                <w:bCs/>
                <w:sz w:val="18"/>
                <w:szCs w:val="18"/>
                <w:lang w:eastAsia="en-US"/>
              </w:rPr>
            </w:pPr>
            <w:r w:rsidRPr="17021632">
              <w:rPr>
                <w:rFonts w:ascii="Arial" w:hAnsi="Arial" w:cs="Arial"/>
                <w:b/>
                <w:bCs/>
                <w:sz w:val="18"/>
                <w:szCs w:val="18"/>
                <w:lang w:eastAsia="en-US"/>
              </w:rPr>
              <w:t>1 083 500</w:t>
            </w:r>
          </w:p>
        </w:tc>
      </w:tr>
      <w:tr w:rsidR="00EB617B" w:rsidRPr="008244FA" w14:paraId="46B300CD" w14:textId="77777777" w:rsidTr="006951BF">
        <w:trPr>
          <w:trHeight w:val="271"/>
        </w:trPr>
        <w:tc>
          <w:tcPr>
            <w:tcW w:w="1636" w:type="pct"/>
            <w:tcBorders>
              <w:top w:val="single" w:sz="4" w:space="0" w:color="auto"/>
              <w:bottom w:val="single" w:sz="4" w:space="0" w:color="auto"/>
            </w:tcBorders>
          </w:tcPr>
          <w:p w14:paraId="2777D572" w14:textId="77777777" w:rsidR="00EB617B" w:rsidRPr="008244FA" w:rsidRDefault="00EB617B" w:rsidP="00EB617B">
            <w:pPr>
              <w:pStyle w:val="anslagstabell"/>
              <w:rPr>
                <w:b/>
              </w:rPr>
            </w:pPr>
          </w:p>
        </w:tc>
        <w:tc>
          <w:tcPr>
            <w:tcW w:w="673" w:type="pct"/>
            <w:tcBorders>
              <w:top w:val="single" w:sz="4" w:space="0" w:color="auto"/>
              <w:bottom w:val="single" w:sz="4" w:space="0" w:color="auto"/>
            </w:tcBorders>
          </w:tcPr>
          <w:p w14:paraId="3B44374D" w14:textId="77777777" w:rsidR="00EB617B" w:rsidRPr="0091385C" w:rsidRDefault="00EB617B" w:rsidP="00EB617B">
            <w:pPr>
              <w:pStyle w:val="anslagstabell"/>
              <w:jc w:val="right"/>
              <w:rPr>
                <w:b/>
              </w:rPr>
            </w:pPr>
          </w:p>
        </w:tc>
        <w:tc>
          <w:tcPr>
            <w:tcW w:w="673" w:type="pct"/>
            <w:tcBorders>
              <w:top w:val="single" w:sz="4" w:space="0" w:color="auto"/>
              <w:bottom w:val="single" w:sz="4" w:space="0" w:color="auto"/>
            </w:tcBorders>
          </w:tcPr>
          <w:p w14:paraId="430A6A5A" w14:textId="77777777" w:rsidR="00EB617B" w:rsidRPr="0091385C" w:rsidRDefault="00EB617B" w:rsidP="00EB617B">
            <w:pPr>
              <w:pStyle w:val="anslagstabell"/>
              <w:jc w:val="right"/>
              <w:rPr>
                <w:b/>
              </w:rPr>
            </w:pPr>
          </w:p>
        </w:tc>
        <w:tc>
          <w:tcPr>
            <w:tcW w:w="673" w:type="pct"/>
            <w:tcBorders>
              <w:top w:val="single" w:sz="4" w:space="0" w:color="auto"/>
              <w:bottom w:val="single" w:sz="4" w:space="0" w:color="auto"/>
            </w:tcBorders>
          </w:tcPr>
          <w:p w14:paraId="019ECF53" w14:textId="77777777" w:rsidR="00EB617B" w:rsidRPr="0091385C" w:rsidRDefault="00EB617B" w:rsidP="00EB617B">
            <w:pPr>
              <w:pStyle w:val="anslagstabell"/>
              <w:jc w:val="right"/>
              <w:rPr>
                <w:b/>
              </w:rPr>
            </w:pPr>
          </w:p>
        </w:tc>
        <w:tc>
          <w:tcPr>
            <w:tcW w:w="673" w:type="pct"/>
            <w:tcBorders>
              <w:top w:val="single" w:sz="4" w:space="0" w:color="auto"/>
              <w:bottom w:val="single" w:sz="4" w:space="0" w:color="auto"/>
            </w:tcBorders>
          </w:tcPr>
          <w:p w14:paraId="44844159" w14:textId="77777777" w:rsidR="00EB617B" w:rsidRPr="0091385C" w:rsidRDefault="00EB617B" w:rsidP="00EB617B">
            <w:pPr>
              <w:pStyle w:val="anslagstabell"/>
              <w:jc w:val="right"/>
              <w:rPr>
                <w:b/>
              </w:rPr>
            </w:pPr>
          </w:p>
        </w:tc>
        <w:tc>
          <w:tcPr>
            <w:tcW w:w="673" w:type="pct"/>
            <w:tcBorders>
              <w:top w:val="single" w:sz="4" w:space="0" w:color="auto"/>
              <w:bottom w:val="single" w:sz="4" w:space="0" w:color="auto"/>
            </w:tcBorders>
          </w:tcPr>
          <w:p w14:paraId="20CBD4E4" w14:textId="77777777" w:rsidR="00EB617B" w:rsidRPr="0091385C" w:rsidRDefault="00EB617B" w:rsidP="00EB617B">
            <w:pPr>
              <w:pStyle w:val="anslagstabell"/>
              <w:jc w:val="right"/>
              <w:rPr>
                <w:b/>
              </w:rPr>
            </w:pPr>
          </w:p>
        </w:tc>
      </w:tr>
      <w:tr w:rsidR="00EB617B" w:rsidRPr="00F935F7" w14:paraId="555EBB82" w14:textId="77777777" w:rsidTr="006951BF">
        <w:trPr>
          <w:trHeight w:val="261"/>
        </w:trPr>
        <w:tc>
          <w:tcPr>
            <w:tcW w:w="1636" w:type="pct"/>
            <w:tcBorders>
              <w:top w:val="single" w:sz="4" w:space="0" w:color="auto"/>
            </w:tcBorders>
          </w:tcPr>
          <w:p w14:paraId="5C32875F" w14:textId="77777777" w:rsidR="00EB617B" w:rsidRPr="00F935F7" w:rsidRDefault="17021632" w:rsidP="00EB617B">
            <w:pPr>
              <w:pStyle w:val="anslagstabell"/>
            </w:pPr>
            <w:r>
              <w:t>Differens i 1000-tal kronor</w:t>
            </w:r>
          </w:p>
        </w:tc>
        <w:tc>
          <w:tcPr>
            <w:tcW w:w="673" w:type="pct"/>
            <w:tcBorders>
              <w:top w:val="single" w:sz="4" w:space="0" w:color="auto"/>
            </w:tcBorders>
          </w:tcPr>
          <w:p w14:paraId="19802B9E" w14:textId="739DC250" w:rsidR="00EB617B" w:rsidRPr="001701F3" w:rsidRDefault="17021632" w:rsidP="00EB617B">
            <w:pPr>
              <w:pStyle w:val="anslagstabell-hgerstlld"/>
            </w:pPr>
            <w:r>
              <w:t>+1 504</w:t>
            </w:r>
          </w:p>
        </w:tc>
        <w:tc>
          <w:tcPr>
            <w:tcW w:w="673" w:type="pct"/>
            <w:tcBorders>
              <w:top w:val="single" w:sz="4" w:space="0" w:color="auto"/>
            </w:tcBorders>
          </w:tcPr>
          <w:p w14:paraId="651619A6" w14:textId="671E353F" w:rsidR="00EB617B" w:rsidRPr="001701F3" w:rsidRDefault="17021632" w:rsidP="00EB617B">
            <w:pPr>
              <w:pStyle w:val="anslagstabell-hgerstlld"/>
            </w:pPr>
            <w:r>
              <w:t>+17 100</w:t>
            </w:r>
          </w:p>
        </w:tc>
        <w:tc>
          <w:tcPr>
            <w:tcW w:w="673" w:type="pct"/>
            <w:tcBorders>
              <w:top w:val="single" w:sz="4" w:space="0" w:color="auto"/>
            </w:tcBorders>
          </w:tcPr>
          <w:p w14:paraId="1BE2D990" w14:textId="66646F7E" w:rsidR="00EB617B" w:rsidRPr="001701F3" w:rsidRDefault="17021632" w:rsidP="00EB617B">
            <w:pPr>
              <w:pStyle w:val="anslagstabell-hgerstlld"/>
            </w:pPr>
            <w:r>
              <w:t>+10 800</w:t>
            </w:r>
          </w:p>
        </w:tc>
        <w:tc>
          <w:tcPr>
            <w:tcW w:w="673" w:type="pct"/>
            <w:tcBorders>
              <w:top w:val="single" w:sz="4" w:space="0" w:color="auto"/>
            </w:tcBorders>
          </w:tcPr>
          <w:p w14:paraId="68C11E23" w14:textId="43FC700C" w:rsidR="00EB617B" w:rsidRPr="001701F3" w:rsidRDefault="17021632" w:rsidP="00EB617B">
            <w:pPr>
              <w:pStyle w:val="anslagstabell-hgerstlld"/>
            </w:pPr>
            <w:r>
              <w:t>+22 700</w:t>
            </w:r>
          </w:p>
        </w:tc>
        <w:tc>
          <w:tcPr>
            <w:tcW w:w="673" w:type="pct"/>
            <w:tcBorders>
              <w:top w:val="single" w:sz="4" w:space="0" w:color="auto"/>
            </w:tcBorders>
          </w:tcPr>
          <w:p w14:paraId="53AE00BA" w14:textId="4F61C9FC" w:rsidR="00EB617B" w:rsidRPr="001701F3" w:rsidRDefault="17021632" w:rsidP="00EB617B">
            <w:pPr>
              <w:pStyle w:val="anslagstabell-hgerstlld"/>
            </w:pPr>
            <w:r>
              <w:t>+33 700</w:t>
            </w:r>
          </w:p>
        </w:tc>
      </w:tr>
      <w:tr w:rsidR="00EB617B" w:rsidRPr="00F935F7" w14:paraId="5123B3DE" w14:textId="77777777" w:rsidTr="006951BF">
        <w:trPr>
          <w:trHeight w:val="271"/>
        </w:trPr>
        <w:tc>
          <w:tcPr>
            <w:tcW w:w="1636" w:type="pct"/>
            <w:tcBorders>
              <w:bottom w:val="single" w:sz="4" w:space="0" w:color="auto"/>
            </w:tcBorders>
          </w:tcPr>
          <w:p w14:paraId="2E4C3F32" w14:textId="77777777" w:rsidR="00EB617B" w:rsidRPr="00F935F7" w:rsidRDefault="17021632" w:rsidP="00EB617B">
            <w:pPr>
              <w:pStyle w:val="anslagstabell"/>
              <w:keepNext w:val="0"/>
            </w:pPr>
            <w:r>
              <w:t>Differens i procent</w:t>
            </w:r>
          </w:p>
        </w:tc>
        <w:tc>
          <w:tcPr>
            <w:tcW w:w="673" w:type="pct"/>
            <w:tcBorders>
              <w:bottom w:val="single" w:sz="4" w:space="0" w:color="auto"/>
            </w:tcBorders>
          </w:tcPr>
          <w:p w14:paraId="3E213A41" w14:textId="2817FC31" w:rsidR="00EB617B" w:rsidRPr="001701F3" w:rsidRDefault="17021632" w:rsidP="00EB617B">
            <w:pPr>
              <w:pStyle w:val="anslagstabell-hgerstlld"/>
            </w:pPr>
            <w:r>
              <w:t>+0,2</w:t>
            </w:r>
          </w:p>
        </w:tc>
        <w:tc>
          <w:tcPr>
            <w:tcW w:w="673" w:type="pct"/>
            <w:tcBorders>
              <w:bottom w:val="single" w:sz="4" w:space="0" w:color="auto"/>
            </w:tcBorders>
          </w:tcPr>
          <w:p w14:paraId="1BC4A855" w14:textId="21BEA2BA" w:rsidR="00EB617B" w:rsidRPr="001701F3" w:rsidRDefault="17021632" w:rsidP="00EB617B">
            <w:pPr>
              <w:pStyle w:val="anslagstabell-hgerstlld"/>
            </w:pPr>
            <w:r>
              <w:t>+1,7</w:t>
            </w:r>
          </w:p>
        </w:tc>
        <w:tc>
          <w:tcPr>
            <w:tcW w:w="673" w:type="pct"/>
            <w:tcBorders>
              <w:bottom w:val="single" w:sz="4" w:space="0" w:color="auto"/>
            </w:tcBorders>
          </w:tcPr>
          <w:p w14:paraId="627A7AC0" w14:textId="6544B430" w:rsidR="00EB617B" w:rsidRPr="001701F3" w:rsidRDefault="17021632" w:rsidP="00EB617B">
            <w:pPr>
              <w:pStyle w:val="anslagstabell-hgerstlld"/>
            </w:pPr>
            <w:r>
              <w:t>+1,1</w:t>
            </w:r>
          </w:p>
        </w:tc>
        <w:tc>
          <w:tcPr>
            <w:tcW w:w="673" w:type="pct"/>
            <w:tcBorders>
              <w:bottom w:val="single" w:sz="4" w:space="0" w:color="auto"/>
            </w:tcBorders>
          </w:tcPr>
          <w:p w14:paraId="0FC40898" w14:textId="0674FEBD" w:rsidR="00EB617B" w:rsidRPr="001701F3" w:rsidRDefault="17021632" w:rsidP="00EB617B">
            <w:pPr>
              <w:pStyle w:val="anslagstabell-hgerstlld"/>
            </w:pPr>
            <w:r>
              <w:t>+2,2</w:t>
            </w:r>
          </w:p>
        </w:tc>
        <w:tc>
          <w:tcPr>
            <w:tcW w:w="673" w:type="pct"/>
            <w:tcBorders>
              <w:bottom w:val="single" w:sz="4" w:space="0" w:color="auto"/>
            </w:tcBorders>
          </w:tcPr>
          <w:p w14:paraId="6E8A77D2" w14:textId="06D376D3" w:rsidR="00EB617B" w:rsidRPr="001701F3" w:rsidRDefault="17021632" w:rsidP="00EB617B">
            <w:pPr>
              <w:pStyle w:val="anslagstabell-hgerstlld"/>
            </w:pPr>
            <w:r>
              <w:t>+3,2</w:t>
            </w:r>
          </w:p>
        </w:tc>
      </w:tr>
    </w:tbl>
    <w:p w14:paraId="64C20717" w14:textId="77777777" w:rsidR="00B77FBE" w:rsidRPr="00B44852" w:rsidRDefault="17021632" w:rsidP="00B77FBE">
      <w:pPr>
        <w:pStyle w:val="Rubrik4"/>
      </w:pPr>
      <w:bookmarkStart w:id="12" w:name="_Toc221685923"/>
      <w:r>
        <w:t>Ändrade makroekonomiska antaganden</w:t>
      </w:r>
    </w:p>
    <w:p w14:paraId="0296E67C" w14:textId="036431B4" w:rsidR="00B77FBE" w:rsidRPr="00CF4483" w:rsidRDefault="00B77FBE" w:rsidP="00B77FBE">
      <w:r w:rsidRPr="00CF4483">
        <w:rPr>
          <w:snapToGrid w:val="0"/>
        </w:rPr>
        <w:t xml:space="preserve">Prognosen för inkomstindex har </w:t>
      </w:r>
      <w:r>
        <w:rPr>
          <w:snapToGrid w:val="0"/>
        </w:rPr>
        <w:t xml:space="preserve">höjts för </w:t>
      </w:r>
      <w:r w:rsidRPr="00CF4483">
        <w:rPr>
          <w:snapToGrid w:val="0"/>
        </w:rPr>
        <w:t>år</w:t>
      </w:r>
      <w:r>
        <w:rPr>
          <w:snapToGrid w:val="0"/>
        </w:rPr>
        <w:t>en</w:t>
      </w:r>
      <w:r w:rsidRPr="00CF4483">
        <w:rPr>
          <w:snapToGrid w:val="0"/>
        </w:rPr>
        <w:t xml:space="preserve"> 20</w:t>
      </w:r>
      <w:r>
        <w:rPr>
          <w:snapToGrid w:val="0"/>
        </w:rPr>
        <w:t>22</w:t>
      </w:r>
      <w:r>
        <w:t>–</w:t>
      </w:r>
      <w:r>
        <w:rPr>
          <w:snapToGrid w:val="0"/>
        </w:rPr>
        <w:t>2023. P</w:t>
      </w:r>
      <w:r w:rsidRPr="00CF4483">
        <w:rPr>
          <w:snapToGrid w:val="0"/>
        </w:rPr>
        <w:t>rognosen för prisbasbeloppet har</w:t>
      </w:r>
      <w:r w:rsidRPr="7B589441">
        <w:t xml:space="preserve"> </w:t>
      </w:r>
      <w:r>
        <w:rPr>
          <w:snapToGrid w:val="0"/>
        </w:rPr>
        <w:t>höjts</w:t>
      </w:r>
      <w:r w:rsidRPr="00383E3B">
        <w:rPr>
          <w:snapToGrid w:val="0"/>
        </w:rPr>
        <w:t xml:space="preserve"> f</w:t>
      </w:r>
      <w:r w:rsidRPr="00CF4483">
        <w:rPr>
          <w:snapToGrid w:val="0"/>
        </w:rPr>
        <w:t>ör</w:t>
      </w:r>
      <w:r>
        <w:rPr>
          <w:snapToGrid w:val="0"/>
        </w:rPr>
        <w:t xml:space="preserve"> åren</w:t>
      </w:r>
      <w:r w:rsidRPr="7B589441">
        <w:t xml:space="preserve"> </w:t>
      </w:r>
      <w:r>
        <w:rPr>
          <w:snapToGrid w:val="0"/>
        </w:rPr>
        <w:t>2021–2022</w:t>
      </w:r>
      <w:r w:rsidRPr="7B589441">
        <w:t xml:space="preserve">. </w:t>
      </w:r>
    </w:p>
    <w:p w14:paraId="2CD82DC9" w14:textId="77777777" w:rsidR="004B63BE" w:rsidRDefault="17021632" w:rsidP="004B63BE">
      <w:pPr>
        <w:pStyle w:val="Rubrik4"/>
      </w:pPr>
      <w:r>
        <w:t>Volym- och strukturförändringar</w:t>
      </w:r>
    </w:p>
    <w:p w14:paraId="1DFBA600" w14:textId="77A74A6D" w:rsidR="00685634" w:rsidRDefault="17021632" w:rsidP="00685634">
      <w:r>
        <w:t>Prognosen är höjd för år</w:t>
      </w:r>
      <w:r w:rsidR="00565737">
        <w:t>en</w:t>
      </w:r>
      <w:r>
        <w:t xml:space="preserve"> </w:t>
      </w:r>
      <w:r w:rsidR="00742A56">
        <w:t>2019–2020</w:t>
      </w:r>
      <w:r>
        <w:t xml:space="preserve"> jämfört med föregående anslagsuppföljning beroende på att de retroaktiva utgifterna beräknas bli högre för efterlevandestöd. </w:t>
      </w:r>
    </w:p>
    <w:p w14:paraId="5091A401" w14:textId="77777777" w:rsidR="002A3E20" w:rsidRDefault="002A3E20" w:rsidP="00685634"/>
    <w:p w14:paraId="15269CE5" w14:textId="59F61507" w:rsidR="004B63BE" w:rsidRDefault="17021632" w:rsidP="00685634">
      <w:r>
        <w:t xml:space="preserve">Antalet med efterlevandestöd beräknas bli något fler jämfört med prognosen i föregående anslagsuppföljning. </w:t>
      </w:r>
    </w:p>
    <w:p w14:paraId="30789A42" w14:textId="4C8FC6D2" w:rsidR="005C58EB" w:rsidRDefault="002A1C0C" w:rsidP="005C58EB">
      <w:pPr>
        <w:pStyle w:val="anslagspostrubrik"/>
      </w:pPr>
      <w:r>
        <w:t>12.1</w:t>
      </w:r>
      <w:r w:rsidR="005C58EB">
        <w:t>:7</w:t>
      </w:r>
      <w:r w:rsidR="005C58EB">
        <w:tab/>
        <w:t>Pensionsrätt för barnår</w:t>
      </w:r>
      <w:bookmarkEnd w:id="12"/>
    </w:p>
    <w:p w14:paraId="1DC2AA0C" w14:textId="3A6F8233" w:rsidR="00A62E49" w:rsidRDefault="17021632" w:rsidP="00A62E49">
      <w:pPr>
        <w:keepNext/>
      </w:pPr>
      <w:r>
        <w:t>I tabellen nedan görs en jämförelse med föregående prognos som lämnades till regeringen i oktober 2019.</w:t>
      </w:r>
    </w:p>
    <w:p w14:paraId="5002608E" w14:textId="77777777" w:rsidR="00A62E49" w:rsidRPr="00A62E49" w:rsidRDefault="00A62E49" w:rsidP="00A62E49"/>
    <w:p w14:paraId="42B7B193" w14:textId="77777777" w:rsidR="005C58EB" w:rsidRPr="00A01D93" w:rsidRDefault="17021632" w:rsidP="005C58EB">
      <w:pPr>
        <w:keepNext/>
      </w:pPr>
      <w:r w:rsidRPr="17021632">
        <w:rPr>
          <w:rStyle w:val="versikt-fet"/>
        </w:rPr>
        <w:t>Prognosjämförelse.</w:t>
      </w:r>
      <w:r>
        <w:t xml:space="preserve"> Beloppen anges i 1000-tal kronor </w:t>
      </w:r>
    </w:p>
    <w:tbl>
      <w:tblPr>
        <w:tblW w:w="6220" w:type="dxa"/>
        <w:tblCellMar>
          <w:left w:w="70" w:type="dxa"/>
          <w:right w:w="70" w:type="dxa"/>
        </w:tblCellMar>
        <w:tblLook w:val="04A0" w:firstRow="1" w:lastRow="0" w:firstColumn="1" w:lastColumn="0" w:noHBand="0" w:noVBand="1"/>
      </w:tblPr>
      <w:tblGrid>
        <w:gridCol w:w="2800"/>
        <w:gridCol w:w="1060"/>
        <w:gridCol w:w="1060"/>
        <w:gridCol w:w="1300"/>
      </w:tblGrid>
      <w:tr w:rsidR="00D74431" w:rsidRPr="00D74431" w14:paraId="773B8F66" w14:textId="77777777" w:rsidTr="17021632">
        <w:trPr>
          <w:trHeight w:val="270"/>
        </w:trPr>
        <w:tc>
          <w:tcPr>
            <w:tcW w:w="2800" w:type="dxa"/>
            <w:tcBorders>
              <w:top w:val="single" w:sz="8" w:space="0" w:color="000000" w:themeColor="text1"/>
              <w:left w:val="nil"/>
              <w:bottom w:val="single" w:sz="8" w:space="0" w:color="000000" w:themeColor="text1"/>
              <w:right w:val="nil"/>
            </w:tcBorders>
            <w:shd w:val="clear" w:color="auto" w:fill="FFFFFF" w:themeFill="background1"/>
            <w:vAlign w:val="center"/>
            <w:hideMark/>
          </w:tcPr>
          <w:p w14:paraId="1C242B9F" w14:textId="77777777" w:rsidR="00D74431" w:rsidRPr="00D74431" w:rsidRDefault="17021632" w:rsidP="17021632">
            <w:pPr>
              <w:jc w:val="center"/>
              <w:rPr>
                <w:rFonts w:ascii="Arial" w:hAnsi="Arial" w:cs="Arial"/>
                <w:b/>
                <w:bCs/>
                <w:sz w:val="18"/>
                <w:szCs w:val="18"/>
              </w:rPr>
            </w:pPr>
            <w:r w:rsidRPr="17021632">
              <w:rPr>
                <w:rFonts w:ascii="Arial" w:hAnsi="Arial" w:cs="Arial"/>
                <w:b/>
                <w:bCs/>
                <w:sz w:val="18"/>
                <w:szCs w:val="18"/>
              </w:rPr>
              <w:t> </w:t>
            </w:r>
          </w:p>
        </w:tc>
        <w:tc>
          <w:tcPr>
            <w:tcW w:w="1060" w:type="dxa"/>
            <w:tcBorders>
              <w:top w:val="single" w:sz="8" w:space="0" w:color="000000" w:themeColor="text1"/>
              <w:left w:val="nil"/>
              <w:bottom w:val="single" w:sz="8" w:space="0" w:color="000000" w:themeColor="text1"/>
              <w:right w:val="nil"/>
            </w:tcBorders>
            <w:shd w:val="clear" w:color="auto" w:fill="FFFFFF" w:themeFill="background1"/>
            <w:vAlign w:val="center"/>
            <w:hideMark/>
          </w:tcPr>
          <w:p w14:paraId="32AA36B9" w14:textId="4BE00D76" w:rsidR="00D74431" w:rsidRPr="00D74431" w:rsidRDefault="17021632" w:rsidP="17021632">
            <w:pPr>
              <w:jc w:val="center"/>
              <w:rPr>
                <w:rFonts w:ascii="Arial" w:hAnsi="Arial" w:cs="Arial"/>
                <w:b/>
                <w:bCs/>
                <w:sz w:val="18"/>
                <w:szCs w:val="18"/>
              </w:rPr>
            </w:pPr>
            <w:r w:rsidRPr="17021632">
              <w:rPr>
                <w:rFonts w:ascii="Arial" w:hAnsi="Arial" w:cs="Arial"/>
                <w:b/>
                <w:bCs/>
                <w:sz w:val="18"/>
                <w:szCs w:val="18"/>
              </w:rPr>
              <w:t>2021</w:t>
            </w:r>
          </w:p>
        </w:tc>
        <w:tc>
          <w:tcPr>
            <w:tcW w:w="1060" w:type="dxa"/>
            <w:tcBorders>
              <w:top w:val="single" w:sz="8" w:space="0" w:color="000000" w:themeColor="text1"/>
              <w:left w:val="nil"/>
              <w:bottom w:val="single" w:sz="8" w:space="0" w:color="000000" w:themeColor="text1"/>
              <w:right w:val="nil"/>
            </w:tcBorders>
            <w:shd w:val="clear" w:color="auto" w:fill="FFFFFF" w:themeFill="background1"/>
            <w:vAlign w:val="center"/>
            <w:hideMark/>
          </w:tcPr>
          <w:p w14:paraId="47022761" w14:textId="0614E4ED" w:rsidR="00D74431" w:rsidRPr="00D74431" w:rsidRDefault="17021632" w:rsidP="17021632">
            <w:pPr>
              <w:jc w:val="center"/>
              <w:rPr>
                <w:rFonts w:ascii="Arial" w:hAnsi="Arial" w:cs="Arial"/>
                <w:b/>
                <w:bCs/>
                <w:sz w:val="18"/>
                <w:szCs w:val="18"/>
              </w:rPr>
            </w:pPr>
            <w:r w:rsidRPr="17021632">
              <w:rPr>
                <w:rFonts w:ascii="Arial" w:hAnsi="Arial" w:cs="Arial"/>
                <w:b/>
                <w:bCs/>
                <w:sz w:val="18"/>
                <w:szCs w:val="18"/>
              </w:rPr>
              <w:t>2022</w:t>
            </w:r>
          </w:p>
        </w:tc>
        <w:tc>
          <w:tcPr>
            <w:tcW w:w="1300" w:type="dxa"/>
            <w:tcBorders>
              <w:top w:val="single" w:sz="8" w:space="0" w:color="000000" w:themeColor="text1"/>
              <w:left w:val="nil"/>
              <w:bottom w:val="single" w:sz="8" w:space="0" w:color="000000" w:themeColor="text1"/>
              <w:right w:val="nil"/>
            </w:tcBorders>
            <w:shd w:val="clear" w:color="auto" w:fill="FFFFFF" w:themeFill="background1"/>
            <w:vAlign w:val="center"/>
            <w:hideMark/>
          </w:tcPr>
          <w:p w14:paraId="38AD9BB7" w14:textId="5AFED5D2" w:rsidR="00D74431" w:rsidRPr="00D74431" w:rsidRDefault="17021632" w:rsidP="17021632">
            <w:pPr>
              <w:jc w:val="center"/>
              <w:rPr>
                <w:rFonts w:ascii="Arial" w:hAnsi="Arial" w:cs="Arial"/>
                <w:b/>
                <w:bCs/>
                <w:sz w:val="18"/>
                <w:szCs w:val="18"/>
              </w:rPr>
            </w:pPr>
            <w:r w:rsidRPr="17021632">
              <w:rPr>
                <w:rFonts w:ascii="Arial" w:hAnsi="Arial" w:cs="Arial"/>
                <w:b/>
                <w:bCs/>
                <w:sz w:val="18"/>
                <w:szCs w:val="18"/>
              </w:rPr>
              <w:t>2023</w:t>
            </w:r>
          </w:p>
        </w:tc>
      </w:tr>
      <w:tr w:rsidR="00EB617B" w:rsidRPr="00D74431" w14:paraId="7CACD440" w14:textId="77777777" w:rsidTr="17021632">
        <w:trPr>
          <w:trHeight w:val="255"/>
        </w:trPr>
        <w:tc>
          <w:tcPr>
            <w:tcW w:w="2800" w:type="dxa"/>
            <w:tcBorders>
              <w:top w:val="nil"/>
              <w:left w:val="nil"/>
              <w:bottom w:val="nil"/>
              <w:right w:val="nil"/>
            </w:tcBorders>
            <w:shd w:val="clear" w:color="auto" w:fill="FFFFFF" w:themeFill="background1"/>
            <w:vAlign w:val="center"/>
            <w:hideMark/>
          </w:tcPr>
          <w:p w14:paraId="42F926AE" w14:textId="77777777" w:rsidR="00EB617B" w:rsidRPr="00D74431" w:rsidRDefault="17021632" w:rsidP="17021632">
            <w:pPr>
              <w:rPr>
                <w:rFonts w:ascii="Arial" w:hAnsi="Arial" w:cs="Arial"/>
                <w:b/>
                <w:bCs/>
                <w:sz w:val="18"/>
                <w:szCs w:val="18"/>
              </w:rPr>
            </w:pPr>
            <w:r w:rsidRPr="17021632">
              <w:rPr>
                <w:rFonts w:ascii="Arial" w:hAnsi="Arial" w:cs="Arial"/>
                <w:b/>
                <w:bCs/>
                <w:sz w:val="18"/>
                <w:szCs w:val="18"/>
              </w:rPr>
              <w:t>Föregående prognosbelopp</w:t>
            </w:r>
          </w:p>
        </w:tc>
        <w:tc>
          <w:tcPr>
            <w:tcW w:w="1060" w:type="dxa"/>
            <w:tcBorders>
              <w:top w:val="nil"/>
              <w:left w:val="nil"/>
              <w:bottom w:val="nil"/>
              <w:right w:val="nil"/>
            </w:tcBorders>
            <w:shd w:val="clear" w:color="auto" w:fill="FFFFFF" w:themeFill="background1"/>
          </w:tcPr>
          <w:p w14:paraId="6B4DA6F8" w14:textId="04416898" w:rsidR="00EB617B" w:rsidRPr="00012A3A" w:rsidRDefault="17021632" w:rsidP="17021632">
            <w:pPr>
              <w:pStyle w:val="anslagstabell-hgerstlld"/>
              <w:rPr>
                <w:b/>
                <w:bCs/>
              </w:rPr>
            </w:pPr>
            <w:r w:rsidRPr="17021632">
              <w:rPr>
                <w:b/>
                <w:bCs/>
              </w:rPr>
              <w:t>7 686 300</w:t>
            </w:r>
          </w:p>
        </w:tc>
        <w:tc>
          <w:tcPr>
            <w:tcW w:w="1060" w:type="dxa"/>
            <w:tcBorders>
              <w:top w:val="nil"/>
              <w:left w:val="nil"/>
              <w:bottom w:val="nil"/>
              <w:right w:val="nil"/>
            </w:tcBorders>
            <w:shd w:val="clear" w:color="auto" w:fill="FFFFFF" w:themeFill="background1"/>
          </w:tcPr>
          <w:p w14:paraId="1D0B560E" w14:textId="5C563222" w:rsidR="00EB617B" w:rsidRPr="00012A3A" w:rsidRDefault="17021632" w:rsidP="17021632">
            <w:pPr>
              <w:pStyle w:val="anslagstabell-hgerstlld"/>
              <w:rPr>
                <w:b/>
                <w:bCs/>
              </w:rPr>
            </w:pPr>
            <w:r w:rsidRPr="17021632">
              <w:rPr>
                <w:b/>
                <w:bCs/>
              </w:rPr>
              <w:t>8 121 400</w:t>
            </w:r>
          </w:p>
        </w:tc>
        <w:tc>
          <w:tcPr>
            <w:tcW w:w="1300" w:type="dxa"/>
            <w:tcBorders>
              <w:top w:val="nil"/>
              <w:left w:val="nil"/>
              <w:bottom w:val="nil"/>
              <w:right w:val="nil"/>
            </w:tcBorders>
            <w:shd w:val="clear" w:color="auto" w:fill="FFFFFF" w:themeFill="background1"/>
          </w:tcPr>
          <w:p w14:paraId="56F12888" w14:textId="71CE34EA" w:rsidR="00EB617B" w:rsidRPr="00012A3A" w:rsidRDefault="17021632" w:rsidP="17021632">
            <w:pPr>
              <w:pStyle w:val="anslagstabell-hgerstlld"/>
              <w:rPr>
                <w:b/>
                <w:bCs/>
              </w:rPr>
            </w:pPr>
            <w:r w:rsidRPr="17021632">
              <w:rPr>
                <w:b/>
                <w:bCs/>
              </w:rPr>
              <w:t>8 392 300</w:t>
            </w:r>
          </w:p>
        </w:tc>
      </w:tr>
      <w:tr w:rsidR="00EB617B" w:rsidRPr="00D74431" w14:paraId="127A9E4C" w14:textId="77777777" w:rsidTr="17021632">
        <w:trPr>
          <w:trHeight w:val="255"/>
        </w:trPr>
        <w:tc>
          <w:tcPr>
            <w:tcW w:w="2800" w:type="dxa"/>
            <w:tcBorders>
              <w:top w:val="nil"/>
              <w:left w:val="nil"/>
              <w:bottom w:val="nil"/>
              <w:right w:val="nil"/>
            </w:tcBorders>
            <w:shd w:val="clear" w:color="auto" w:fill="FFFFFF" w:themeFill="background1"/>
            <w:vAlign w:val="center"/>
            <w:hideMark/>
          </w:tcPr>
          <w:p w14:paraId="0D579C34" w14:textId="77777777" w:rsidR="00EB617B" w:rsidRPr="00D74431" w:rsidRDefault="17021632" w:rsidP="17021632">
            <w:pPr>
              <w:rPr>
                <w:rFonts w:ascii="Arial" w:hAnsi="Arial" w:cs="Arial"/>
                <w:sz w:val="18"/>
                <w:szCs w:val="18"/>
              </w:rPr>
            </w:pPr>
            <w:r w:rsidRPr="17021632">
              <w:rPr>
                <w:rFonts w:ascii="Arial" w:hAnsi="Arial" w:cs="Arial"/>
                <w:sz w:val="18"/>
                <w:szCs w:val="18"/>
              </w:rPr>
              <w:t>Överföring till/från andra anslag</w:t>
            </w:r>
          </w:p>
        </w:tc>
        <w:tc>
          <w:tcPr>
            <w:tcW w:w="1060" w:type="dxa"/>
            <w:tcBorders>
              <w:top w:val="nil"/>
              <w:left w:val="nil"/>
              <w:bottom w:val="nil"/>
              <w:right w:val="nil"/>
            </w:tcBorders>
            <w:shd w:val="clear" w:color="auto" w:fill="FFFFFF" w:themeFill="background1"/>
            <w:vAlign w:val="center"/>
          </w:tcPr>
          <w:p w14:paraId="75104197" w14:textId="02F7E423" w:rsidR="00EB617B" w:rsidRPr="00D74431" w:rsidRDefault="00EB617B" w:rsidP="00EB617B">
            <w:pPr>
              <w:jc w:val="right"/>
              <w:rPr>
                <w:rFonts w:ascii="Arial" w:hAnsi="Arial" w:cs="Arial"/>
                <w:sz w:val="18"/>
                <w:szCs w:val="18"/>
              </w:rPr>
            </w:pPr>
          </w:p>
        </w:tc>
        <w:tc>
          <w:tcPr>
            <w:tcW w:w="1060" w:type="dxa"/>
            <w:tcBorders>
              <w:top w:val="nil"/>
              <w:left w:val="nil"/>
              <w:bottom w:val="nil"/>
              <w:right w:val="nil"/>
            </w:tcBorders>
            <w:shd w:val="clear" w:color="auto" w:fill="FFFFFF" w:themeFill="background1"/>
            <w:vAlign w:val="center"/>
          </w:tcPr>
          <w:p w14:paraId="0BB141BC" w14:textId="1B00A648" w:rsidR="00EB617B" w:rsidRPr="00D74431" w:rsidRDefault="00EB617B" w:rsidP="00EB617B">
            <w:pPr>
              <w:jc w:val="right"/>
              <w:rPr>
                <w:rFonts w:ascii="Arial" w:hAnsi="Arial" w:cs="Arial"/>
                <w:sz w:val="18"/>
                <w:szCs w:val="18"/>
              </w:rPr>
            </w:pPr>
          </w:p>
        </w:tc>
        <w:tc>
          <w:tcPr>
            <w:tcW w:w="1300" w:type="dxa"/>
            <w:tcBorders>
              <w:top w:val="nil"/>
              <w:left w:val="nil"/>
              <w:bottom w:val="nil"/>
              <w:right w:val="nil"/>
            </w:tcBorders>
            <w:shd w:val="clear" w:color="auto" w:fill="FFFFFF" w:themeFill="background1"/>
            <w:vAlign w:val="center"/>
          </w:tcPr>
          <w:p w14:paraId="2A3370C9" w14:textId="4DADAE33" w:rsidR="00EB617B" w:rsidRPr="00D74431" w:rsidRDefault="00EB617B" w:rsidP="00EB617B">
            <w:pPr>
              <w:jc w:val="right"/>
              <w:rPr>
                <w:rFonts w:ascii="Arial" w:hAnsi="Arial" w:cs="Arial"/>
                <w:sz w:val="18"/>
                <w:szCs w:val="18"/>
              </w:rPr>
            </w:pPr>
          </w:p>
        </w:tc>
      </w:tr>
      <w:tr w:rsidR="00EB617B" w:rsidRPr="00D74431" w14:paraId="4E23DEBD" w14:textId="77777777" w:rsidTr="17021632">
        <w:trPr>
          <w:trHeight w:val="495"/>
        </w:trPr>
        <w:tc>
          <w:tcPr>
            <w:tcW w:w="2800" w:type="dxa"/>
            <w:tcBorders>
              <w:top w:val="nil"/>
              <w:left w:val="nil"/>
              <w:bottom w:val="nil"/>
              <w:right w:val="nil"/>
            </w:tcBorders>
            <w:shd w:val="clear" w:color="auto" w:fill="FFFFFF" w:themeFill="background1"/>
            <w:vAlign w:val="center"/>
            <w:hideMark/>
          </w:tcPr>
          <w:p w14:paraId="051783D5" w14:textId="77777777" w:rsidR="00EB617B" w:rsidRPr="00D74431" w:rsidRDefault="17021632" w:rsidP="17021632">
            <w:pPr>
              <w:rPr>
                <w:rFonts w:ascii="Arial" w:hAnsi="Arial" w:cs="Arial"/>
                <w:sz w:val="18"/>
                <w:szCs w:val="18"/>
              </w:rPr>
            </w:pPr>
            <w:r w:rsidRPr="17021632">
              <w:rPr>
                <w:rFonts w:ascii="Arial" w:hAnsi="Arial" w:cs="Arial"/>
                <w:sz w:val="18"/>
                <w:szCs w:val="18"/>
              </w:rPr>
              <w:t>Ändrade makroekonomiska antaganden</w:t>
            </w:r>
          </w:p>
        </w:tc>
        <w:tc>
          <w:tcPr>
            <w:tcW w:w="1060" w:type="dxa"/>
            <w:tcBorders>
              <w:top w:val="nil"/>
              <w:left w:val="nil"/>
              <w:bottom w:val="nil"/>
              <w:right w:val="nil"/>
            </w:tcBorders>
            <w:shd w:val="clear" w:color="auto" w:fill="FFFFFF" w:themeFill="background1"/>
            <w:vAlign w:val="center"/>
          </w:tcPr>
          <w:p w14:paraId="72293B06" w14:textId="27ADC7BC" w:rsidR="00EB617B" w:rsidRPr="00D74431" w:rsidRDefault="17021632" w:rsidP="17021632">
            <w:pPr>
              <w:jc w:val="right"/>
              <w:rPr>
                <w:rFonts w:ascii="Arial" w:hAnsi="Arial" w:cs="Arial"/>
                <w:sz w:val="18"/>
                <w:szCs w:val="18"/>
              </w:rPr>
            </w:pPr>
            <w:r w:rsidRPr="17021632">
              <w:rPr>
                <w:rFonts w:ascii="Arial" w:hAnsi="Arial" w:cs="Arial"/>
                <w:sz w:val="18"/>
                <w:szCs w:val="18"/>
              </w:rPr>
              <w:t>143 700</w:t>
            </w:r>
          </w:p>
        </w:tc>
        <w:tc>
          <w:tcPr>
            <w:tcW w:w="1060" w:type="dxa"/>
            <w:tcBorders>
              <w:top w:val="nil"/>
              <w:left w:val="nil"/>
              <w:bottom w:val="nil"/>
              <w:right w:val="nil"/>
            </w:tcBorders>
            <w:shd w:val="clear" w:color="auto" w:fill="FFFFFF" w:themeFill="background1"/>
            <w:vAlign w:val="center"/>
          </w:tcPr>
          <w:p w14:paraId="32CA3B4F" w14:textId="59D63DC6" w:rsidR="00EB617B" w:rsidRPr="00D74431" w:rsidRDefault="17021632" w:rsidP="17021632">
            <w:pPr>
              <w:jc w:val="right"/>
              <w:rPr>
                <w:rFonts w:ascii="Arial" w:hAnsi="Arial" w:cs="Arial"/>
                <w:sz w:val="18"/>
                <w:szCs w:val="18"/>
              </w:rPr>
            </w:pPr>
            <w:r w:rsidRPr="17021632">
              <w:rPr>
                <w:rFonts w:ascii="Arial" w:hAnsi="Arial" w:cs="Arial"/>
                <w:sz w:val="18"/>
                <w:szCs w:val="18"/>
              </w:rPr>
              <w:t>151 400</w:t>
            </w:r>
          </w:p>
        </w:tc>
        <w:tc>
          <w:tcPr>
            <w:tcW w:w="1300" w:type="dxa"/>
            <w:tcBorders>
              <w:top w:val="nil"/>
              <w:left w:val="nil"/>
              <w:bottom w:val="nil"/>
              <w:right w:val="nil"/>
            </w:tcBorders>
            <w:shd w:val="clear" w:color="auto" w:fill="FFFFFF" w:themeFill="background1"/>
            <w:vAlign w:val="center"/>
          </w:tcPr>
          <w:p w14:paraId="13520F5B" w14:textId="53FEE277" w:rsidR="00EB617B" w:rsidRPr="00D74431" w:rsidRDefault="17021632" w:rsidP="17021632">
            <w:pPr>
              <w:jc w:val="right"/>
              <w:rPr>
                <w:rFonts w:ascii="Arial" w:hAnsi="Arial" w:cs="Arial"/>
                <w:sz w:val="18"/>
                <w:szCs w:val="18"/>
              </w:rPr>
            </w:pPr>
            <w:r w:rsidRPr="17021632">
              <w:rPr>
                <w:rFonts w:ascii="Arial" w:hAnsi="Arial" w:cs="Arial"/>
                <w:sz w:val="18"/>
                <w:szCs w:val="18"/>
              </w:rPr>
              <w:t>159 300</w:t>
            </w:r>
          </w:p>
        </w:tc>
      </w:tr>
      <w:tr w:rsidR="00EB617B" w:rsidRPr="00D74431" w14:paraId="49A81B82" w14:textId="77777777" w:rsidTr="17021632">
        <w:trPr>
          <w:trHeight w:val="255"/>
        </w:trPr>
        <w:tc>
          <w:tcPr>
            <w:tcW w:w="2800" w:type="dxa"/>
            <w:tcBorders>
              <w:top w:val="nil"/>
              <w:left w:val="nil"/>
              <w:bottom w:val="nil"/>
              <w:right w:val="nil"/>
            </w:tcBorders>
            <w:shd w:val="clear" w:color="auto" w:fill="FFFFFF" w:themeFill="background1"/>
            <w:vAlign w:val="center"/>
            <w:hideMark/>
          </w:tcPr>
          <w:p w14:paraId="5124D9D7" w14:textId="77777777" w:rsidR="00EB617B" w:rsidRPr="00D74431" w:rsidRDefault="17021632" w:rsidP="17021632">
            <w:pPr>
              <w:rPr>
                <w:rFonts w:ascii="Arial" w:hAnsi="Arial" w:cs="Arial"/>
                <w:sz w:val="18"/>
                <w:szCs w:val="18"/>
              </w:rPr>
            </w:pPr>
            <w:r w:rsidRPr="17021632">
              <w:rPr>
                <w:rFonts w:ascii="Arial" w:hAnsi="Arial" w:cs="Arial"/>
                <w:sz w:val="18"/>
                <w:szCs w:val="18"/>
              </w:rPr>
              <w:t>Volym- och strukturförändringar</w:t>
            </w:r>
          </w:p>
        </w:tc>
        <w:tc>
          <w:tcPr>
            <w:tcW w:w="1060" w:type="dxa"/>
            <w:tcBorders>
              <w:top w:val="nil"/>
              <w:left w:val="nil"/>
              <w:bottom w:val="nil"/>
              <w:right w:val="nil"/>
            </w:tcBorders>
            <w:shd w:val="clear" w:color="auto" w:fill="FFFFFF" w:themeFill="background1"/>
            <w:vAlign w:val="center"/>
          </w:tcPr>
          <w:p w14:paraId="0DC5FD80" w14:textId="5A5D5101" w:rsidR="00EB617B" w:rsidRPr="00D74431" w:rsidRDefault="17021632" w:rsidP="17021632">
            <w:pPr>
              <w:jc w:val="right"/>
              <w:rPr>
                <w:rFonts w:ascii="Arial" w:hAnsi="Arial" w:cs="Arial"/>
                <w:sz w:val="18"/>
                <w:szCs w:val="18"/>
              </w:rPr>
            </w:pPr>
            <w:r w:rsidRPr="17021632">
              <w:rPr>
                <w:rFonts w:ascii="Arial" w:hAnsi="Arial" w:cs="Arial"/>
                <w:sz w:val="18"/>
                <w:szCs w:val="18"/>
              </w:rPr>
              <w:t>96 500</w:t>
            </w:r>
          </w:p>
        </w:tc>
        <w:tc>
          <w:tcPr>
            <w:tcW w:w="1060" w:type="dxa"/>
            <w:tcBorders>
              <w:top w:val="nil"/>
              <w:left w:val="nil"/>
              <w:bottom w:val="nil"/>
              <w:right w:val="nil"/>
            </w:tcBorders>
            <w:shd w:val="clear" w:color="auto" w:fill="FFFFFF" w:themeFill="background1"/>
            <w:vAlign w:val="center"/>
          </w:tcPr>
          <w:p w14:paraId="7F9ADCA8" w14:textId="415A7B60" w:rsidR="00EB617B" w:rsidRPr="00D74431" w:rsidRDefault="17021632" w:rsidP="17021632">
            <w:pPr>
              <w:jc w:val="right"/>
              <w:rPr>
                <w:rFonts w:ascii="Arial" w:hAnsi="Arial" w:cs="Arial"/>
                <w:sz w:val="18"/>
                <w:szCs w:val="18"/>
              </w:rPr>
            </w:pPr>
            <w:r w:rsidRPr="17021632">
              <w:rPr>
                <w:rFonts w:ascii="Arial" w:hAnsi="Arial" w:cs="Arial"/>
                <w:sz w:val="18"/>
                <w:szCs w:val="18"/>
              </w:rPr>
              <w:t>106 200</w:t>
            </w:r>
          </w:p>
        </w:tc>
        <w:tc>
          <w:tcPr>
            <w:tcW w:w="1300" w:type="dxa"/>
            <w:tcBorders>
              <w:top w:val="nil"/>
              <w:left w:val="nil"/>
              <w:bottom w:val="nil"/>
              <w:right w:val="nil"/>
            </w:tcBorders>
            <w:shd w:val="clear" w:color="auto" w:fill="FFFFFF" w:themeFill="background1"/>
            <w:vAlign w:val="center"/>
          </w:tcPr>
          <w:p w14:paraId="73100BF8" w14:textId="7C6F9D55" w:rsidR="00EB617B" w:rsidRPr="00D74431" w:rsidRDefault="17021632" w:rsidP="17021632">
            <w:pPr>
              <w:spacing w:line="259" w:lineRule="auto"/>
              <w:jc w:val="right"/>
              <w:rPr>
                <w:rFonts w:ascii="Arial" w:hAnsi="Arial" w:cs="Arial"/>
                <w:sz w:val="18"/>
                <w:szCs w:val="18"/>
              </w:rPr>
            </w:pPr>
            <w:r w:rsidRPr="17021632">
              <w:rPr>
                <w:rFonts w:ascii="Arial" w:hAnsi="Arial" w:cs="Arial"/>
                <w:sz w:val="18"/>
                <w:szCs w:val="18"/>
              </w:rPr>
              <w:t>115 900</w:t>
            </w:r>
          </w:p>
        </w:tc>
      </w:tr>
      <w:tr w:rsidR="00EB617B" w:rsidRPr="00D74431" w14:paraId="6726C0F2" w14:textId="77777777" w:rsidTr="17021632">
        <w:trPr>
          <w:trHeight w:val="255"/>
        </w:trPr>
        <w:tc>
          <w:tcPr>
            <w:tcW w:w="2800" w:type="dxa"/>
            <w:tcBorders>
              <w:top w:val="nil"/>
              <w:left w:val="nil"/>
              <w:bottom w:val="nil"/>
              <w:right w:val="nil"/>
            </w:tcBorders>
            <w:shd w:val="clear" w:color="auto" w:fill="FFFFFF" w:themeFill="background1"/>
            <w:vAlign w:val="center"/>
            <w:hideMark/>
          </w:tcPr>
          <w:p w14:paraId="51343227" w14:textId="77777777" w:rsidR="00EB617B" w:rsidRPr="00D74431" w:rsidRDefault="17021632" w:rsidP="17021632">
            <w:pPr>
              <w:rPr>
                <w:rFonts w:ascii="Arial" w:hAnsi="Arial" w:cs="Arial"/>
                <w:sz w:val="18"/>
                <w:szCs w:val="18"/>
              </w:rPr>
            </w:pPr>
            <w:r w:rsidRPr="17021632">
              <w:rPr>
                <w:rFonts w:ascii="Arial" w:hAnsi="Arial" w:cs="Arial"/>
                <w:sz w:val="18"/>
                <w:szCs w:val="18"/>
              </w:rPr>
              <w:t>Ny regel</w:t>
            </w:r>
          </w:p>
        </w:tc>
        <w:tc>
          <w:tcPr>
            <w:tcW w:w="1060" w:type="dxa"/>
            <w:tcBorders>
              <w:top w:val="nil"/>
              <w:left w:val="nil"/>
              <w:bottom w:val="nil"/>
              <w:right w:val="nil"/>
            </w:tcBorders>
            <w:shd w:val="clear" w:color="auto" w:fill="FFFFFF" w:themeFill="background1"/>
            <w:vAlign w:val="center"/>
          </w:tcPr>
          <w:p w14:paraId="5A74D988" w14:textId="303451D0" w:rsidR="00EB617B" w:rsidRPr="00D74431" w:rsidRDefault="00EB617B" w:rsidP="00EB617B">
            <w:pPr>
              <w:jc w:val="right"/>
              <w:rPr>
                <w:rFonts w:ascii="Arial" w:hAnsi="Arial" w:cs="Arial"/>
                <w:color w:val="FF0000"/>
                <w:sz w:val="18"/>
                <w:szCs w:val="18"/>
              </w:rPr>
            </w:pPr>
          </w:p>
        </w:tc>
        <w:tc>
          <w:tcPr>
            <w:tcW w:w="1060" w:type="dxa"/>
            <w:tcBorders>
              <w:top w:val="nil"/>
              <w:left w:val="nil"/>
              <w:bottom w:val="nil"/>
              <w:right w:val="nil"/>
            </w:tcBorders>
            <w:shd w:val="clear" w:color="auto" w:fill="FFFFFF" w:themeFill="background1"/>
            <w:vAlign w:val="center"/>
          </w:tcPr>
          <w:p w14:paraId="4FCA2EAA" w14:textId="02B68C63" w:rsidR="00EB617B" w:rsidRPr="00D74431" w:rsidRDefault="00EB617B" w:rsidP="00EB617B">
            <w:pPr>
              <w:jc w:val="right"/>
              <w:rPr>
                <w:rFonts w:ascii="Arial" w:hAnsi="Arial" w:cs="Arial"/>
                <w:color w:val="FF0000"/>
                <w:sz w:val="18"/>
                <w:szCs w:val="18"/>
              </w:rPr>
            </w:pPr>
          </w:p>
        </w:tc>
        <w:tc>
          <w:tcPr>
            <w:tcW w:w="1300" w:type="dxa"/>
            <w:tcBorders>
              <w:top w:val="nil"/>
              <w:left w:val="nil"/>
              <w:bottom w:val="nil"/>
              <w:right w:val="nil"/>
            </w:tcBorders>
            <w:shd w:val="clear" w:color="auto" w:fill="FFFFFF" w:themeFill="background1"/>
            <w:vAlign w:val="center"/>
          </w:tcPr>
          <w:p w14:paraId="1A6D1E0E" w14:textId="2DA3DF34" w:rsidR="00EB617B" w:rsidRPr="00D74431" w:rsidRDefault="00EB617B" w:rsidP="00EB617B">
            <w:pPr>
              <w:jc w:val="right"/>
              <w:rPr>
                <w:rFonts w:ascii="Arial" w:hAnsi="Arial" w:cs="Arial"/>
                <w:color w:val="FF0000"/>
                <w:sz w:val="18"/>
                <w:szCs w:val="18"/>
              </w:rPr>
            </w:pPr>
          </w:p>
        </w:tc>
      </w:tr>
      <w:tr w:rsidR="00EB617B" w:rsidRPr="00D74431" w14:paraId="01E3326F" w14:textId="77777777" w:rsidTr="17021632">
        <w:trPr>
          <w:trHeight w:val="480"/>
        </w:trPr>
        <w:tc>
          <w:tcPr>
            <w:tcW w:w="2800" w:type="dxa"/>
            <w:tcBorders>
              <w:top w:val="nil"/>
              <w:left w:val="nil"/>
              <w:bottom w:val="nil"/>
              <w:right w:val="nil"/>
            </w:tcBorders>
            <w:shd w:val="clear" w:color="auto" w:fill="FFFFFF" w:themeFill="background1"/>
            <w:vAlign w:val="center"/>
            <w:hideMark/>
          </w:tcPr>
          <w:p w14:paraId="54C4F727" w14:textId="77777777" w:rsidR="00EB617B" w:rsidRPr="00D74431" w:rsidRDefault="17021632" w:rsidP="17021632">
            <w:pPr>
              <w:rPr>
                <w:rFonts w:ascii="Arial" w:hAnsi="Arial" w:cs="Arial"/>
                <w:sz w:val="18"/>
                <w:szCs w:val="18"/>
              </w:rPr>
            </w:pPr>
            <w:r w:rsidRPr="17021632">
              <w:rPr>
                <w:rFonts w:ascii="Arial" w:hAnsi="Arial" w:cs="Arial"/>
                <w:sz w:val="18"/>
                <w:szCs w:val="18"/>
              </w:rPr>
              <w:t>Ändrat regleringsbelopp avseende tre år tidigare</w:t>
            </w:r>
          </w:p>
        </w:tc>
        <w:tc>
          <w:tcPr>
            <w:tcW w:w="1060" w:type="dxa"/>
            <w:tcBorders>
              <w:top w:val="nil"/>
              <w:left w:val="nil"/>
              <w:bottom w:val="nil"/>
              <w:right w:val="nil"/>
            </w:tcBorders>
            <w:shd w:val="clear" w:color="auto" w:fill="FFFFFF" w:themeFill="background1"/>
            <w:vAlign w:val="center"/>
          </w:tcPr>
          <w:p w14:paraId="234A7AF2" w14:textId="5D2BAEE6" w:rsidR="00EB617B" w:rsidRPr="00D74431" w:rsidRDefault="17021632" w:rsidP="17021632">
            <w:pPr>
              <w:jc w:val="right"/>
              <w:rPr>
                <w:rFonts w:ascii="Arial" w:hAnsi="Arial" w:cs="Arial"/>
                <w:sz w:val="18"/>
                <w:szCs w:val="18"/>
              </w:rPr>
            </w:pPr>
            <w:r w:rsidRPr="17021632">
              <w:rPr>
                <w:rFonts w:ascii="Arial" w:hAnsi="Arial" w:cs="Arial"/>
                <w:sz w:val="18"/>
                <w:szCs w:val="18"/>
              </w:rPr>
              <w:t>176 900</w:t>
            </w:r>
          </w:p>
        </w:tc>
        <w:tc>
          <w:tcPr>
            <w:tcW w:w="1060" w:type="dxa"/>
            <w:tcBorders>
              <w:top w:val="nil"/>
              <w:left w:val="nil"/>
              <w:bottom w:val="nil"/>
              <w:right w:val="nil"/>
            </w:tcBorders>
            <w:shd w:val="clear" w:color="auto" w:fill="FFFFFF" w:themeFill="background1"/>
            <w:vAlign w:val="center"/>
          </w:tcPr>
          <w:p w14:paraId="7B5B5F57" w14:textId="46E6814E" w:rsidR="00EB617B" w:rsidRPr="00D74431" w:rsidRDefault="17021632" w:rsidP="17021632">
            <w:pPr>
              <w:jc w:val="right"/>
              <w:rPr>
                <w:rFonts w:ascii="Arial" w:hAnsi="Arial" w:cs="Arial"/>
                <w:sz w:val="18"/>
                <w:szCs w:val="18"/>
              </w:rPr>
            </w:pPr>
            <w:r w:rsidRPr="17021632">
              <w:rPr>
                <w:rFonts w:ascii="Arial" w:hAnsi="Arial" w:cs="Arial"/>
                <w:sz w:val="18"/>
                <w:szCs w:val="18"/>
              </w:rPr>
              <w:t>174 000</w:t>
            </w:r>
          </w:p>
        </w:tc>
        <w:tc>
          <w:tcPr>
            <w:tcW w:w="1300" w:type="dxa"/>
            <w:tcBorders>
              <w:top w:val="nil"/>
              <w:left w:val="nil"/>
              <w:bottom w:val="nil"/>
              <w:right w:val="nil"/>
            </w:tcBorders>
            <w:shd w:val="clear" w:color="auto" w:fill="FFFFFF" w:themeFill="background1"/>
            <w:vAlign w:val="center"/>
          </w:tcPr>
          <w:p w14:paraId="7B658D1B" w14:textId="3BA1D5D2" w:rsidR="00EB617B" w:rsidRPr="00D74431" w:rsidRDefault="17021632" w:rsidP="17021632">
            <w:pPr>
              <w:jc w:val="right"/>
              <w:rPr>
                <w:rFonts w:ascii="Arial" w:hAnsi="Arial" w:cs="Arial"/>
                <w:sz w:val="18"/>
                <w:szCs w:val="18"/>
              </w:rPr>
            </w:pPr>
            <w:r w:rsidRPr="17021632">
              <w:rPr>
                <w:rFonts w:ascii="Arial" w:hAnsi="Arial" w:cs="Arial"/>
                <w:sz w:val="18"/>
                <w:szCs w:val="18"/>
              </w:rPr>
              <w:t>229 800</w:t>
            </w:r>
          </w:p>
        </w:tc>
      </w:tr>
      <w:tr w:rsidR="00EB617B" w:rsidRPr="00D74431" w14:paraId="42B22E99" w14:textId="77777777" w:rsidTr="17021632">
        <w:trPr>
          <w:trHeight w:val="480"/>
        </w:trPr>
        <w:tc>
          <w:tcPr>
            <w:tcW w:w="2800" w:type="dxa"/>
            <w:tcBorders>
              <w:top w:val="nil"/>
              <w:left w:val="nil"/>
              <w:bottom w:val="nil"/>
              <w:right w:val="nil"/>
            </w:tcBorders>
            <w:shd w:val="clear" w:color="auto" w:fill="FFFFFF" w:themeFill="background1"/>
            <w:vAlign w:val="center"/>
            <w:hideMark/>
          </w:tcPr>
          <w:p w14:paraId="041275EA" w14:textId="77777777" w:rsidR="00EB617B" w:rsidRPr="00D74431" w:rsidRDefault="17021632" w:rsidP="17021632">
            <w:pPr>
              <w:rPr>
                <w:rFonts w:ascii="Arial" w:hAnsi="Arial" w:cs="Arial"/>
                <w:sz w:val="18"/>
                <w:szCs w:val="18"/>
              </w:rPr>
            </w:pPr>
            <w:r w:rsidRPr="17021632">
              <w:rPr>
                <w:rFonts w:ascii="Arial" w:hAnsi="Arial" w:cs="Arial"/>
                <w:sz w:val="18"/>
                <w:szCs w:val="18"/>
              </w:rPr>
              <w:t>Differens mot förslag i budgetpropositionen</w:t>
            </w:r>
          </w:p>
        </w:tc>
        <w:tc>
          <w:tcPr>
            <w:tcW w:w="1060" w:type="dxa"/>
            <w:tcBorders>
              <w:top w:val="nil"/>
              <w:left w:val="nil"/>
              <w:bottom w:val="nil"/>
              <w:right w:val="nil"/>
            </w:tcBorders>
            <w:shd w:val="clear" w:color="auto" w:fill="FFFFFF" w:themeFill="background1"/>
            <w:vAlign w:val="center"/>
          </w:tcPr>
          <w:p w14:paraId="53423E38" w14:textId="2EB75E19" w:rsidR="00EB617B" w:rsidRPr="00D74431" w:rsidRDefault="00EB617B" w:rsidP="00EB617B">
            <w:pPr>
              <w:jc w:val="right"/>
              <w:rPr>
                <w:rFonts w:ascii="Arial" w:hAnsi="Arial" w:cs="Arial"/>
                <w:sz w:val="18"/>
                <w:szCs w:val="18"/>
              </w:rPr>
            </w:pPr>
          </w:p>
        </w:tc>
        <w:tc>
          <w:tcPr>
            <w:tcW w:w="1060" w:type="dxa"/>
            <w:tcBorders>
              <w:top w:val="nil"/>
              <w:left w:val="nil"/>
              <w:bottom w:val="nil"/>
              <w:right w:val="nil"/>
            </w:tcBorders>
            <w:shd w:val="clear" w:color="auto" w:fill="FFFFFF" w:themeFill="background1"/>
            <w:vAlign w:val="center"/>
          </w:tcPr>
          <w:p w14:paraId="2F59BB42" w14:textId="78068F60" w:rsidR="00EB617B" w:rsidRPr="00D74431" w:rsidRDefault="00EB617B" w:rsidP="00EB617B">
            <w:pPr>
              <w:jc w:val="right"/>
              <w:rPr>
                <w:rFonts w:ascii="Arial" w:hAnsi="Arial" w:cs="Arial"/>
                <w:sz w:val="18"/>
                <w:szCs w:val="18"/>
              </w:rPr>
            </w:pPr>
          </w:p>
        </w:tc>
        <w:tc>
          <w:tcPr>
            <w:tcW w:w="1300" w:type="dxa"/>
            <w:tcBorders>
              <w:top w:val="nil"/>
              <w:left w:val="nil"/>
              <w:bottom w:val="nil"/>
              <w:right w:val="nil"/>
            </w:tcBorders>
            <w:shd w:val="clear" w:color="auto" w:fill="FFFFFF" w:themeFill="background1"/>
            <w:vAlign w:val="center"/>
          </w:tcPr>
          <w:p w14:paraId="2071A420" w14:textId="046028B6" w:rsidR="00EB617B" w:rsidRPr="00D74431" w:rsidRDefault="00EB617B" w:rsidP="00EB617B">
            <w:pPr>
              <w:jc w:val="right"/>
              <w:rPr>
                <w:rFonts w:ascii="Arial" w:hAnsi="Arial" w:cs="Arial"/>
                <w:sz w:val="18"/>
                <w:szCs w:val="18"/>
              </w:rPr>
            </w:pPr>
          </w:p>
        </w:tc>
      </w:tr>
      <w:tr w:rsidR="00EB617B" w:rsidRPr="00D74431" w14:paraId="4284A6E4" w14:textId="77777777" w:rsidTr="17021632">
        <w:trPr>
          <w:trHeight w:val="255"/>
        </w:trPr>
        <w:tc>
          <w:tcPr>
            <w:tcW w:w="2800" w:type="dxa"/>
            <w:tcBorders>
              <w:top w:val="nil"/>
              <w:left w:val="nil"/>
              <w:bottom w:val="nil"/>
              <w:right w:val="nil"/>
            </w:tcBorders>
            <w:shd w:val="clear" w:color="auto" w:fill="FFFFFF" w:themeFill="background1"/>
            <w:vAlign w:val="center"/>
            <w:hideMark/>
          </w:tcPr>
          <w:p w14:paraId="48B28EA8" w14:textId="77777777" w:rsidR="00EB617B" w:rsidRPr="00D74431" w:rsidRDefault="17021632" w:rsidP="17021632">
            <w:pPr>
              <w:rPr>
                <w:rFonts w:ascii="Arial" w:hAnsi="Arial" w:cs="Arial"/>
                <w:sz w:val="18"/>
                <w:szCs w:val="18"/>
              </w:rPr>
            </w:pPr>
            <w:r w:rsidRPr="17021632">
              <w:rPr>
                <w:rFonts w:ascii="Arial" w:hAnsi="Arial" w:cs="Arial"/>
                <w:sz w:val="18"/>
                <w:szCs w:val="18"/>
              </w:rPr>
              <w:t> </w:t>
            </w:r>
          </w:p>
        </w:tc>
        <w:tc>
          <w:tcPr>
            <w:tcW w:w="1060" w:type="dxa"/>
            <w:tcBorders>
              <w:top w:val="nil"/>
              <w:left w:val="nil"/>
              <w:bottom w:val="nil"/>
              <w:right w:val="nil"/>
            </w:tcBorders>
            <w:shd w:val="clear" w:color="auto" w:fill="FFFFFF" w:themeFill="background1"/>
            <w:vAlign w:val="center"/>
          </w:tcPr>
          <w:p w14:paraId="05178C2A" w14:textId="1AEFE378" w:rsidR="00EB617B" w:rsidRPr="00D74431" w:rsidRDefault="00EB617B" w:rsidP="00EB617B">
            <w:pPr>
              <w:jc w:val="right"/>
              <w:rPr>
                <w:rFonts w:ascii="Arial" w:hAnsi="Arial" w:cs="Arial"/>
                <w:color w:val="FF0000"/>
                <w:sz w:val="18"/>
                <w:szCs w:val="18"/>
              </w:rPr>
            </w:pPr>
          </w:p>
        </w:tc>
        <w:tc>
          <w:tcPr>
            <w:tcW w:w="1060" w:type="dxa"/>
            <w:tcBorders>
              <w:top w:val="nil"/>
              <w:left w:val="nil"/>
              <w:bottom w:val="nil"/>
              <w:right w:val="nil"/>
            </w:tcBorders>
            <w:shd w:val="clear" w:color="auto" w:fill="FFFFFF" w:themeFill="background1"/>
            <w:vAlign w:val="center"/>
          </w:tcPr>
          <w:p w14:paraId="7368E585" w14:textId="12B3E89F" w:rsidR="00EB617B" w:rsidRPr="00D74431" w:rsidRDefault="00EB617B" w:rsidP="00EB617B">
            <w:pPr>
              <w:jc w:val="right"/>
              <w:rPr>
                <w:rFonts w:ascii="Arial" w:hAnsi="Arial" w:cs="Arial"/>
                <w:color w:val="FF0000"/>
                <w:sz w:val="18"/>
                <w:szCs w:val="18"/>
              </w:rPr>
            </w:pPr>
          </w:p>
        </w:tc>
        <w:tc>
          <w:tcPr>
            <w:tcW w:w="1300" w:type="dxa"/>
            <w:tcBorders>
              <w:top w:val="nil"/>
              <w:left w:val="nil"/>
              <w:bottom w:val="nil"/>
              <w:right w:val="nil"/>
            </w:tcBorders>
            <w:shd w:val="clear" w:color="auto" w:fill="FFFFFF" w:themeFill="background1"/>
            <w:vAlign w:val="center"/>
          </w:tcPr>
          <w:p w14:paraId="1A3A1D59" w14:textId="4BA1A140" w:rsidR="00EB617B" w:rsidRPr="00D74431" w:rsidRDefault="00EB617B" w:rsidP="00EB617B">
            <w:pPr>
              <w:jc w:val="right"/>
              <w:rPr>
                <w:rFonts w:ascii="Arial" w:hAnsi="Arial" w:cs="Arial"/>
                <w:color w:val="FF0000"/>
                <w:sz w:val="18"/>
                <w:szCs w:val="18"/>
              </w:rPr>
            </w:pPr>
          </w:p>
        </w:tc>
      </w:tr>
      <w:tr w:rsidR="00EB617B" w:rsidRPr="00D74431" w14:paraId="5EF13754" w14:textId="77777777" w:rsidTr="17021632">
        <w:trPr>
          <w:trHeight w:val="255"/>
        </w:trPr>
        <w:tc>
          <w:tcPr>
            <w:tcW w:w="2800" w:type="dxa"/>
            <w:tcBorders>
              <w:top w:val="nil"/>
              <w:left w:val="nil"/>
              <w:bottom w:val="nil"/>
              <w:right w:val="nil"/>
            </w:tcBorders>
            <w:shd w:val="clear" w:color="auto" w:fill="FFFFFF" w:themeFill="background1"/>
            <w:vAlign w:val="center"/>
            <w:hideMark/>
          </w:tcPr>
          <w:p w14:paraId="76033E35" w14:textId="77777777" w:rsidR="00EB617B" w:rsidRPr="00D74431" w:rsidRDefault="17021632" w:rsidP="17021632">
            <w:pPr>
              <w:rPr>
                <w:rFonts w:ascii="Arial" w:hAnsi="Arial" w:cs="Arial"/>
                <w:b/>
                <w:bCs/>
                <w:sz w:val="18"/>
                <w:szCs w:val="18"/>
              </w:rPr>
            </w:pPr>
            <w:r w:rsidRPr="17021632">
              <w:rPr>
                <w:rFonts w:ascii="Arial" w:hAnsi="Arial" w:cs="Arial"/>
                <w:b/>
                <w:bCs/>
                <w:sz w:val="18"/>
                <w:szCs w:val="18"/>
              </w:rPr>
              <w:t>Ny prognos</w:t>
            </w:r>
          </w:p>
        </w:tc>
        <w:tc>
          <w:tcPr>
            <w:tcW w:w="1060" w:type="dxa"/>
            <w:tcBorders>
              <w:top w:val="nil"/>
              <w:left w:val="nil"/>
              <w:bottom w:val="nil"/>
              <w:right w:val="nil"/>
            </w:tcBorders>
            <w:shd w:val="clear" w:color="auto" w:fill="FFFFFF" w:themeFill="background1"/>
            <w:vAlign w:val="center"/>
          </w:tcPr>
          <w:p w14:paraId="75767F19" w14:textId="535D9446" w:rsidR="00EB617B" w:rsidRPr="00D74431" w:rsidRDefault="17021632" w:rsidP="17021632">
            <w:pPr>
              <w:jc w:val="right"/>
              <w:rPr>
                <w:rFonts w:ascii="Arial" w:hAnsi="Arial" w:cs="Arial"/>
                <w:sz w:val="18"/>
                <w:szCs w:val="18"/>
              </w:rPr>
            </w:pPr>
            <w:r w:rsidRPr="17021632">
              <w:rPr>
                <w:rFonts w:ascii="Arial" w:hAnsi="Arial" w:cs="Arial"/>
                <w:b/>
                <w:bCs/>
                <w:sz w:val="18"/>
                <w:szCs w:val="18"/>
              </w:rPr>
              <w:t>8 103 400</w:t>
            </w:r>
          </w:p>
        </w:tc>
        <w:tc>
          <w:tcPr>
            <w:tcW w:w="1060" w:type="dxa"/>
            <w:tcBorders>
              <w:top w:val="nil"/>
              <w:left w:val="nil"/>
              <w:bottom w:val="nil"/>
              <w:right w:val="nil"/>
            </w:tcBorders>
            <w:shd w:val="clear" w:color="auto" w:fill="FFFFFF" w:themeFill="background1"/>
            <w:vAlign w:val="center"/>
          </w:tcPr>
          <w:p w14:paraId="5DF6C80F" w14:textId="3F8A5660" w:rsidR="00EB617B" w:rsidRPr="00D74431" w:rsidRDefault="17021632" w:rsidP="17021632">
            <w:pPr>
              <w:jc w:val="right"/>
              <w:rPr>
                <w:rFonts w:ascii="Arial" w:hAnsi="Arial" w:cs="Arial"/>
                <w:b/>
                <w:bCs/>
                <w:sz w:val="18"/>
                <w:szCs w:val="18"/>
              </w:rPr>
            </w:pPr>
            <w:r w:rsidRPr="17021632">
              <w:rPr>
                <w:rFonts w:ascii="Arial" w:hAnsi="Arial" w:cs="Arial"/>
                <w:b/>
                <w:bCs/>
                <w:sz w:val="18"/>
                <w:szCs w:val="18"/>
              </w:rPr>
              <w:t>8 553 000</w:t>
            </w:r>
          </w:p>
        </w:tc>
        <w:tc>
          <w:tcPr>
            <w:tcW w:w="1300" w:type="dxa"/>
            <w:tcBorders>
              <w:top w:val="nil"/>
              <w:left w:val="nil"/>
              <w:bottom w:val="nil"/>
              <w:right w:val="nil"/>
            </w:tcBorders>
            <w:shd w:val="clear" w:color="auto" w:fill="FFFFFF" w:themeFill="background1"/>
            <w:vAlign w:val="center"/>
          </w:tcPr>
          <w:p w14:paraId="5F65C987" w14:textId="5EF25A51" w:rsidR="00EB617B" w:rsidRPr="00D74431" w:rsidRDefault="17021632" w:rsidP="17021632">
            <w:pPr>
              <w:jc w:val="right"/>
              <w:rPr>
                <w:rFonts w:ascii="Arial" w:hAnsi="Arial" w:cs="Arial"/>
                <w:b/>
                <w:bCs/>
                <w:sz w:val="18"/>
                <w:szCs w:val="18"/>
              </w:rPr>
            </w:pPr>
            <w:r w:rsidRPr="17021632">
              <w:rPr>
                <w:rFonts w:ascii="Arial" w:hAnsi="Arial" w:cs="Arial"/>
                <w:b/>
                <w:bCs/>
                <w:sz w:val="18"/>
                <w:szCs w:val="18"/>
              </w:rPr>
              <w:t>8 897 300</w:t>
            </w:r>
          </w:p>
        </w:tc>
      </w:tr>
      <w:tr w:rsidR="00EB617B" w:rsidRPr="00D74431" w14:paraId="702B9976" w14:textId="77777777" w:rsidTr="17021632">
        <w:trPr>
          <w:trHeight w:val="255"/>
        </w:trPr>
        <w:tc>
          <w:tcPr>
            <w:tcW w:w="2800" w:type="dxa"/>
            <w:tcBorders>
              <w:top w:val="nil"/>
              <w:left w:val="nil"/>
              <w:bottom w:val="nil"/>
              <w:right w:val="nil"/>
            </w:tcBorders>
            <w:shd w:val="clear" w:color="auto" w:fill="FFFFFF" w:themeFill="background1"/>
            <w:vAlign w:val="center"/>
            <w:hideMark/>
          </w:tcPr>
          <w:p w14:paraId="66E471F2" w14:textId="77777777" w:rsidR="00EB617B" w:rsidRPr="00D74431" w:rsidRDefault="17021632" w:rsidP="17021632">
            <w:pPr>
              <w:rPr>
                <w:rFonts w:ascii="Arial" w:hAnsi="Arial" w:cs="Arial"/>
                <w:b/>
                <w:bCs/>
                <w:sz w:val="18"/>
                <w:szCs w:val="18"/>
              </w:rPr>
            </w:pPr>
            <w:r w:rsidRPr="17021632">
              <w:rPr>
                <w:rFonts w:ascii="Arial" w:hAnsi="Arial" w:cs="Arial"/>
                <w:b/>
                <w:bCs/>
                <w:sz w:val="18"/>
                <w:szCs w:val="18"/>
              </w:rPr>
              <w:t> </w:t>
            </w:r>
          </w:p>
        </w:tc>
        <w:tc>
          <w:tcPr>
            <w:tcW w:w="1060" w:type="dxa"/>
            <w:tcBorders>
              <w:top w:val="nil"/>
              <w:left w:val="nil"/>
              <w:bottom w:val="nil"/>
              <w:right w:val="nil"/>
            </w:tcBorders>
            <w:shd w:val="clear" w:color="auto" w:fill="FFFFFF" w:themeFill="background1"/>
            <w:vAlign w:val="center"/>
          </w:tcPr>
          <w:p w14:paraId="64F44859" w14:textId="3F7FCF1C" w:rsidR="00EB617B" w:rsidRPr="00D74431" w:rsidRDefault="00EB617B" w:rsidP="00EB617B">
            <w:pPr>
              <w:jc w:val="right"/>
              <w:rPr>
                <w:rFonts w:ascii="Arial" w:hAnsi="Arial" w:cs="Arial"/>
                <w:color w:val="FF0000"/>
                <w:sz w:val="18"/>
                <w:szCs w:val="18"/>
              </w:rPr>
            </w:pPr>
          </w:p>
        </w:tc>
        <w:tc>
          <w:tcPr>
            <w:tcW w:w="1060" w:type="dxa"/>
            <w:tcBorders>
              <w:top w:val="nil"/>
              <w:left w:val="nil"/>
              <w:bottom w:val="nil"/>
              <w:right w:val="nil"/>
            </w:tcBorders>
            <w:shd w:val="clear" w:color="auto" w:fill="FFFFFF" w:themeFill="background1"/>
            <w:vAlign w:val="center"/>
          </w:tcPr>
          <w:p w14:paraId="0A886CB4" w14:textId="0C26971C" w:rsidR="00EB617B" w:rsidRPr="00D74431" w:rsidRDefault="00EB617B" w:rsidP="00EB617B">
            <w:pPr>
              <w:jc w:val="right"/>
              <w:rPr>
                <w:rFonts w:ascii="Arial" w:hAnsi="Arial" w:cs="Arial"/>
                <w:color w:val="FF0000"/>
                <w:sz w:val="18"/>
                <w:szCs w:val="18"/>
              </w:rPr>
            </w:pPr>
          </w:p>
        </w:tc>
        <w:tc>
          <w:tcPr>
            <w:tcW w:w="1300" w:type="dxa"/>
            <w:tcBorders>
              <w:top w:val="nil"/>
              <w:left w:val="nil"/>
              <w:bottom w:val="nil"/>
              <w:right w:val="nil"/>
            </w:tcBorders>
            <w:shd w:val="clear" w:color="auto" w:fill="FFFFFF" w:themeFill="background1"/>
            <w:vAlign w:val="center"/>
          </w:tcPr>
          <w:p w14:paraId="2EBEFE39" w14:textId="56440FFF" w:rsidR="00EB617B" w:rsidRPr="00D74431" w:rsidRDefault="00EB617B" w:rsidP="00EB617B">
            <w:pPr>
              <w:jc w:val="right"/>
              <w:rPr>
                <w:rFonts w:ascii="Arial" w:hAnsi="Arial" w:cs="Arial"/>
                <w:color w:val="FF0000"/>
                <w:sz w:val="18"/>
                <w:szCs w:val="18"/>
              </w:rPr>
            </w:pPr>
          </w:p>
        </w:tc>
      </w:tr>
      <w:tr w:rsidR="00EB617B" w:rsidRPr="00D74431" w14:paraId="49B4B25A" w14:textId="77777777" w:rsidTr="17021632">
        <w:trPr>
          <w:trHeight w:val="255"/>
        </w:trPr>
        <w:tc>
          <w:tcPr>
            <w:tcW w:w="2800" w:type="dxa"/>
            <w:tcBorders>
              <w:top w:val="nil"/>
              <w:left w:val="nil"/>
              <w:bottom w:val="nil"/>
              <w:right w:val="nil"/>
            </w:tcBorders>
            <w:shd w:val="clear" w:color="auto" w:fill="FFFFFF" w:themeFill="background1"/>
            <w:vAlign w:val="center"/>
            <w:hideMark/>
          </w:tcPr>
          <w:p w14:paraId="53AB2C04" w14:textId="77777777" w:rsidR="00EB617B" w:rsidRPr="00D74431" w:rsidRDefault="17021632" w:rsidP="17021632">
            <w:pPr>
              <w:rPr>
                <w:rFonts w:ascii="Arial" w:hAnsi="Arial" w:cs="Arial"/>
                <w:sz w:val="18"/>
                <w:szCs w:val="18"/>
              </w:rPr>
            </w:pPr>
            <w:r w:rsidRPr="17021632">
              <w:rPr>
                <w:rFonts w:ascii="Arial" w:hAnsi="Arial" w:cs="Arial"/>
                <w:sz w:val="18"/>
                <w:szCs w:val="18"/>
              </w:rPr>
              <w:t>Differens i 1000-tal kronor</w:t>
            </w:r>
          </w:p>
        </w:tc>
        <w:tc>
          <w:tcPr>
            <w:tcW w:w="1060" w:type="dxa"/>
            <w:tcBorders>
              <w:top w:val="nil"/>
              <w:left w:val="nil"/>
              <w:bottom w:val="nil"/>
              <w:right w:val="nil"/>
            </w:tcBorders>
            <w:shd w:val="clear" w:color="auto" w:fill="FFFFFF" w:themeFill="background1"/>
            <w:vAlign w:val="center"/>
          </w:tcPr>
          <w:p w14:paraId="68C481DF" w14:textId="73002482" w:rsidR="00EB617B" w:rsidRPr="00D74431" w:rsidRDefault="17021632" w:rsidP="17021632">
            <w:pPr>
              <w:jc w:val="right"/>
              <w:rPr>
                <w:rFonts w:ascii="Arial" w:hAnsi="Arial" w:cs="Arial"/>
                <w:sz w:val="18"/>
                <w:szCs w:val="18"/>
              </w:rPr>
            </w:pPr>
            <w:r w:rsidRPr="17021632">
              <w:rPr>
                <w:rFonts w:ascii="Arial" w:hAnsi="Arial" w:cs="Arial"/>
                <w:sz w:val="18"/>
                <w:szCs w:val="18"/>
              </w:rPr>
              <w:t>417 100</w:t>
            </w:r>
          </w:p>
        </w:tc>
        <w:tc>
          <w:tcPr>
            <w:tcW w:w="1060" w:type="dxa"/>
            <w:tcBorders>
              <w:top w:val="nil"/>
              <w:left w:val="nil"/>
              <w:bottom w:val="nil"/>
              <w:right w:val="nil"/>
            </w:tcBorders>
            <w:shd w:val="clear" w:color="auto" w:fill="FFFFFF" w:themeFill="background1"/>
            <w:vAlign w:val="center"/>
          </w:tcPr>
          <w:p w14:paraId="55B741D8" w14:textId="5B7260BF" w:rsidR="00EB617B" w:rsidRPr="00D74431" w:rsidRDefault="17021632" w:rsidP="17021632">
            <w:pPr>
              <w:jc w:val="right"/>
              <w:rPr>
                <w:rFonts w:ascii="Arial" w:hAnsi="Arial" w:cs="Arial"/>
                <w:sz w:val="18"/>
                <w:szCs w:val="18"/>
              </w:rPr>
            </w:pPr>
            <w:r w:rsidRPr="17021632">
              <w:rPr>
                <w:rFonts w:ascii="Arial" w:hAnsi="Arial" w:cs="Arial"/>
                <w:sz w:val="18"/>
                <w:szCs w:val="18"/>
              </w:rPr>
              <w:t>431 600</w:t>
            </w:r>
          </w:p>
        </w:tc>
        <w:tc>
          <w:tcPr>
            <w:tcW w:w="1300" w:type="dxa"/>
            <w:tcBorders>
              <w:top w:val="nil"/>
              <w:left w:val="nil"/>
              <w:bottom w:val="nil"/>
              <w:right w:val="nil"/>
            </w:tcBorders>
            <w:shd w:val="clear" w:color="auto" w:fill="FFFFFF" w:themeFill="background1"/>
            <w:vAlign w:val="center"/>
          </w:tcPr>
          <w:p w14:paraId="7265E2A4" w14:textId="50C59FC8" w:rsidR="00EB617B" w:rsidRPr="00D74431" w:rsidRDefault="17021632" w:rsidP="17021632">
            <w:pPr>
              <w:jc w:val="right"/>
              <w:rPr>
                <w:rFonts w:ascii="Arial" w:hAnsi="Arial" w:cs="Arial"/>
                <w:sz w:val="18"/>
                <w:szCs w:val="18"/>
              </w:rPr>
            </w:pPr>
            <w:r w:rsidRPr="17021632">
              <w:rPr>
                <w:rFonts w:ascii="Arial" w:hAnsi="Arial" w:cs="Arial"/>
                <w:sz w:val="18"/>
                <w:szCs w:val="18"/>
              </w:rPr>
              <w:t>505 000</w:t>
            </w:r>
          </w:p>
        </w:tc>
      </w:tr>
      <w:tr w:rsidR="00EB617B" w:rsidRPr="00D74431" w14:paraId="6F908852" w14:textId="77777777" w:rsidTr="17021632">
        <w:trPr>
          <w:trHeight w:val="270"/>
        </w:trPr>
        <w:tc>
          <w:tcPr>
            <w:tcW w:w="2800" w:type="dxa"/>
            <w:tcBorders>
              <w:top w:val="nil"/>
              <w:left w:val="nil"/>
              <w:bottom w:val="single" w:sz="8" w:space="0" w:color="000000" w:themeColor="text1"/>
              <w:right w:val="nil"/>
            </w:tcBorders>
            <w:shd w:val="clear" w:color="auto" w:fill="FFFFFF" w:themeFill="background1"/>
            <w:vAlign w:val="center"/>
            <w:hideMark/>
          </w:tcPr>
          <w:p w14:paraId="342AFB71" w14:textId="77777777" w:rsidR="00EB617B" w:rsidRPr="00D74431" w:rsidRDefault="17021632" w:rsidP="17021632">
            <w:pPr>
              <w:rPr>
                <w:rFonts w:ascii="Arial" w:hAnsi="Arial" w:cs="Arial"/>
                <w:sz w:val="18"/>
                <w:szCs w:val="18"/>
              </w:rPr>
            </w:pPr>
            <w:r w:rsidRPr="17021632">
              <w:rPr>
                <w:rFonts w:ascii="Arial" w:hAnsi="Arial" w:cs="Arial"/>
                <w:sz w:val="18"/>
                <w:szCs w:val="18"/>
              </w:rPr>
              <w:lastRenderedPageBreak/>
              <w:t>Differens i procent</w:t>
            </w:r>
          </w:p>
        </w:tc>
        <w:tc>
          <w:tcPr>
            <w:tcW w:w="1060" w:type="dxa"/>
            <w:tcBorders>
              <w:top w:val="nil"/>
              <w:left w:val="nil"/>
              <w:bottom w:val="single" w:sz="8" w:space="0" w:color="000000" w:themeColor="text1"/>
              <w:right w:val="nil"/>
            </w:tcBorders>
            <w:shd w:val="clear" w:color="auto" w:fill="FFFFFF" w:themeFill="background1"/>
            <w:vAlign w:val="center"/>
          </w:tcPr>
          <w:p w14:paraId="6FFCE23C" w14:textId="38DA092F" w:rsidR="00EB617B" w:rsidRPr="00D74431" w:rsidRDefault="17021632" w:rsidP="17021632">
            <w:pPr>
              <w:jc w:val="right"/>
              <w:rPr>
                <w:rFonts w:ascii="Arial" w:hAnsi="Arial" w:cs="Arial"/>
                <w:sz w:val="18"/>
                <w:szCs w:val="18"/>
              </w:rPr>
            </w:pPr>
            <w:r w:rsidRPr="17021632">
              <w:rPr>
                <w:rFonts w:ascii="Arial" w:hAnsi="Arial" w:cs="Arial"/>
                <w:sz w:val="18"/>
                <w:szCs w:val="18"/>
              </w:rPr>
              <w:t>5,4</w:t>
            </w:r>
          </w:p>
        </w:tc>
        <w:tc>
          <w:tcPr>
            <w:tcW w:w="1060" w:type="dxa"/>
            <w:tcBorders>
              <w:top w:val="nil"/>
              <w:left w:val="nil"/>
              <w:bottom w:val="single" w:sz="8" w:space="0" w:color="000000" w:themeColor="text1"/>
              <w:right w:val="nil"/>
            </w:tcBorders>
            <w:shd w:val="clear" w:color="auto" w:fill="FFFFFF" w:themeFill="background1"/>
            <w:vAlign w:val="center"/>
          </w:tcPr>
          <w:p w14:paraId="537FFCE0" w14:textId="6D3A5191" w:rsidR="00EB617B" w:rsidRPr="00D74431" w:rsidRDefault="17021632" w:rsidP="17021632">
            <w:pPr>
              <w:jc w:val="right"/>
              <w:rPr>
                <w:rFonts w:ascii="Arial" w:hAnsi="Arial" w:cs="Arial"/>
                <w:sz w:val="18"/>
                <w:szCs w:val="18"/>
              </w:rPr>
            </w:pPr>
            <w:r w:rsidRPr="17021632">
              <w:rPr>
                <w:rFonts w:ascii="Arial" w:hAnsi="Arial" w:cs="Arial"/>
                <w:sz w:val="18"/>
                <w:szCs w:val="18"/>
              </w:rPr>
              <w:t>5,3</w:t>
            </w:r>
          </w:p>
        </w:tc>
        <w:tc>
          <w:tcPr>
            <w:tcW w:w="1300" w:type="dxa"/>
            <w:tcBorders>
              <w:top w:val="nil"/>
              <w:left w:val="nil"/>
              <w:bottom w:val="single" w:sz="8" w:space="0" w:color="000000" w:themeColor="text1"/>
              <w:right w:val="nil"/>
            </w:tcBorders>
            <w:shd w:val="clear" w:color="auto" w:fill="FFFFFF" w:themeFill="background1"/>
            <w:vAlign w:val="center"/>
          </w:tcPr>
          <w:p w14:paraId="7014F88F" w14:textId="593475C2" w:rsidR="00EB617B" w:rsidRPr="00D74431" w:rsidRDefault="17021632" w:rsidP="17021632">
            <w:pPr>
              <w:jc w:val="right"/>
              <w:rPr>
                <w:rFonts w:ascii="Arial" w:hAnsi="Arial" w:cs="Arial"/>
                <w:sz w:val="18"/>
                <w:szCs w:val="18"/>
              </w:rPr>
            </w:pPr>
            <w:r w:rsidRPr="17021632">
              <w:rPr>
                <w:rFonts w:ascii="Arial" w:hAnsi="Arial" w:cs="Arial"/>
                <w:sz w:val="18"/>
                <w:szCs w:val="18"/>
              </w:rPr>
              <w:t>6,0</w:t>
            </w:r>
          </w:p>
        </w:tc>
      </w:tr>
    </w:tbl>
    <w:p w14:paraId="69D05485" w14:textId="017B4B41" w:rsidR="6E73E8E2" w:rsidRDefault="6E73E8E2" w:rsidP="6E73E8E2"/>
    <w:p w14:paraId="3209FF72" w14:textId="20A944C0" w:rsidR="7B589441" w:rsidRDefault="17021632" w:rsidP="6E73E8E2">
      <w:pPr>
        <w:rPr>
          <w:i/>
        </w:rPr>
      </w:pPr>
      <w:r w:rsidRPr="6E73E8E2">
        <w:rPr>
          <w:i/>
          <w:szCs w:val="24"/>
        </w:rPr>
        <w:t>Ändrade makroekonomiska antaganden</w:t>
      </w:r>
      <w:r w:rsidR="7B589441">
        <w:br/>
      </w:r>
      <w:r w:rsidRPr="00321B7A">
        <w:t>Prognosen är höjd jämfört med oktoberprognosen på grund av höjd prognos för inkomstbasbelopp samt höjd prognos för timlöneökningar, där höjningen för timlöneökningar påverkar mest.</w:t>
      </w:r>
    </w:p>
    <w:p w14:paraId="6E794F72" w14:textId="77777777" w:rsidR="005E44A0" w:rsidRDefault="17021632" w:rsidP="005E44A0">
      <w:pPr>
        <w:pStyle w:val="Rubrik4"/>
      </w:pPr>
      <w:r>
        <w:t>Volym- och strukturförändringar</w:t>
      </w:r>
    </w:p>
    <w:p w14:paraId="38D672E1" w14:textId="348ECF0B" w:rsidR="005E44A0" w:rsidRDefault="17021632" w:rsidP="005E44A0">
      <w:r>
        <w:t>Prognosen är höjd jämfört med föregående anslagsuppföljning beroende på utfallsstatistik för 2018 (intjänande) gällande antal och medelbelopp enligt de tre olika beräkningsalternativen. Andelarna och därmed antalet personer enligt de tre olika beräkningsalternativen har skattats om i prognosen beroende på den nya statistiken. Prognosen av andelen personer med alternativ ett och två är höjd jämfört med tidigare prognos</w:t>
      </w:r>
      <w:r w:rsidR="029FE07C">
        <w:t>. Alternativ tre är minskad jämfört med tidigare prognos. Medelbeloppet för alternativ tre är lägre än för de andra alternativen, vilket leder till en höjning av utgiftsprognosen för 2021–2023.</w:t>
      </w:r>
    </w:p>
    <w:p w14:paraId="16020087" w14:textId="77777777" w:rsidR="005E44A0" w:rsidRDefault="17021632" w:rsidP="005E44A0">
      <w:pPr>
        <w:pStyle w:val="Rubrik4"/>
      </w:pPr>
      <w:r>
        <w:t>Ändrat regleringsbelopp avseende tre år tidigare</w:t>
      </w:r>
    </w:p>
    <w:p w14:paraId="19B2A4DD" w14:textId="4ECBBBEC" w:rsidR="00890775" w:rsidRDefault="17021632" w:rsidP="00CB604D">
      <w:r>
        <w:t xml:space="preserve">Det prognostiserade regleringsbeloppet för år 2021 som avser 2018 har höjts med 177 miljoner jämfört med oktoberprognosen. Det beror främst på att </w:t>
      </w:r>
      <w:r w:rsidR="1B83DE7E">
        <w:t>utfallet av antalet berättigade</w:t>
      </w:r>
      <w:r>
        <w:t xml:space="preserve"> personer blev </w:t>
      </w:r>
      <w:r w:rsidR="1B83DE7E">
        <w:t>större</w:t>
      </w:r>
      <w:r>
        <w:t xml:space="preserve"> än vad </w:t>
      </w:r>
      <w:r w:rsidR="1B83DE7E">
        <w:t>tidigare prognos angav.</w:t>
      </w:r>
      <w:r>
        <w:t xml:space="preserve"> Regleringsbeloppen för 2022–2023 är även de höjda vilket beror på ändrade makroekonomiska antaganden samt volym- och strukturförändringar som nämnts ovan.</w:t>
      </w:r>
    </w:p>
    <w:p w14:paraId="2E1247BF" w14:textId="77777777" w:rsidR="00F54A78" w:rsidRDefault="00F54A78" w:rsidP="00CB604D"/>
    <w:p w14:paraId="6EE7CCEB" w14:textId="77777777" w:rsidR="005C58EB" w:rsidRPr="00976CD1" w:rsidRDefault="17021632" w:rsidP="005C58EB">
      <w:pPr>
        <w:pStyle w:val="anslagspostrubrik"/>
      </w:pPr>
      <w:r>
        <w:t>Ålderspensionssystemet vid sidan av statsbudgeten</w:t>
      </w:r>
    </w:p>
    <w:p w14:paraId="4DAD43C3" w14:textId="13B3843E" w:rsidR="005C58EB" w:rsidRDefault="17021632" w:rsidP="005C58EB">
      <w:pPr>
        <w:keepNext/>
      </w:pPr>
      <w:r>
        <w:t>I tabellen nedan görs en jämförelse med föregående prognos som lämnades till regeringen i oktober 2019.</w:t>
      </w:r>
    </w:p>
    <w:p w14:paraId="0B0D7B5E" w14:textId="77777777" w:rsidR="00A62E49" w:rsidRDefault="00A62E49" w:rsidP="005C58EB">
      <w:pPr>
        <w:keepNext/>
      </w:pPr>
    </w:p>
    <w:p w14:paraId="1F426B5D" w14:textId="77777777" w:rsidR="00A62E49" w:rsidRPr="00A01D93" w:rsidRDefault="17021632" w:rsidP="00A62E49">
      <w:pPr>
        <w:keepNext/>
      </w:pPr>
      <w:r w:rsidRPr="17021632">
        <w:rPr>
          <w:rStyle w:val="versikt-fet"/>
        </w:rPr>
        <w:t>Prognosjämförelse.</w:t>
      </w:r>
      <w:r>
        <w:t xml:space="preserve"> Beloppen anges i 1000-tal kronor </w:t>
      </w:r>
    </w:p>
    <w:tbl>
      <w:tblPr>
        <w:tblW w:w="5527" w:type="pct"/>
        <w:tblCellMar>
          <w:left w:w="70" w:type="dxa"/>
          <w:right w:w="70" w:type="dxa"/>
        </w:tblCellMar>
        <w:tblLook w:val="0000" w:firstRow="0" w:lastRow="0" w:firstColumn="0" w:lastColumn="0" w:noHBand="0" w:noVBand="0"/>
      </w:tblPr>
      <w:tblGrid>
        <w:gridCol w:w="2515"/>
        <w:gridCol w:w="1126"/>
        <w:gridCol w:w="1126"/>
        <w:gridCol w:w="1128"/>
        <w:gridCol w:w="1126"/>
        <w:gridCol w:w="1126"/>
      </w:tblGrid>
      <w:tr w:rsidR="00D14B5D" w:rsidRPr="00B44852" w14:paraId="77C6E323" w14:textId="77777777" w:rsidTr="006951BF">
        <w:trPr>
          <w:trHeight w:val="275"/>
        </w:trPr>
        <w:tc>
          <w:tcPr>
            <w:tcW w:w="1544" w:type="pct"/>
            <w:tcBorders>
              <w:top w:val="single" w:sz="4" w:space="0" w:color="auto"/>
              <w:bottom w:val="single" w:sz="4" w:space="0" w:color="auto"/>
            </w:tcBorders>
          </w:tcPr>
          <w:p w14:paraId="521D9AB0" w14:textId="77777777" w:rsidR="00D14B5D" w:rsidRPr="00B44852" w:rsidRDefault="00D14B5D" w:rsidP="00D14B5D">
            <w:pPr>
              <w:pStyle w:val="anslagstabell"/>
              <w:jc w:val="center"/>
              <w:rPr>
                <w:b/>
              </w:rPr>
            </w:pPr>
          </w:p>
        </w:tc>
        <w:tc>
          <w:tcPr>
            <w:tcW w:w="691" w:type="pct"/>
            <w:tcBorders>
              <w:top w:val="single" w:sz="4" w:space="0" w:color="auto"/>
              <w:bottom w:val="single" w:sz="4" w:space="0" w:color="auto"/>
            </w:tcBorders>
          </w:tcPr>
          <w:p w14:paraId="54C42BDA" w14:textId="1C766DE2" w:rsidR="00D14B5D" w:rsidRPr="00B44852" w:rsidRDefault="17021632" w:rsidP="17021632">
            <w:pPr>
              <w:pStyle w:val="anslagstabell"/>
              <w:jc w:val="center"/>
              <w:rPr>
                <w:b/>
                <w:bCs/>
              </w:rPr>
            </w:pPr>
            <w:r w:rsidRPr="17021632">
              <w:rPr>
                <w:b/>
                <w:bCs/>
              </w:rPr>
              <w:t>2019</w:t>
            </w:r>
          </w:p>
        </w:tc>
        <w:tc>
          <w:tcPr>
            <w:tcW w:w="691" w:type="pct"/>
            <w:tcBorders>
              <w:top w:val="single" w:sz="4" w:space="0" w:color="auto"/>
              <w:bottom w:val="single" w:sz="4" w:space="0" w:color="auto"/>
            </w:tcBorders>
          </w:tcPr>
          <w:p w14:paraId="04D322D7" w14:textId="019A83D3" w:rsidR="00D14B5D" w:rsidRDefault="17021632" w:rsidP="17021632">
            <w:pPr>
              <w:pStyle w:val="anslagstabell"/>
              <w:jc w:val="center"/>
              <w:rPr>
                <w:b/>
                <w:bCs/>
              </w:rPr>
            </w:pPr>
            <w:r w:rsidRPr="17021632">
              <w:rPr>
                <w:b/>
                <w:bCs/>
              </w:rPr>
              <w:t>2020</w:t>
            </w:r>
          </w:p>
        </w:tc>
        <w:tc>
          <w:tcPr>
            <w:tcW w:w="692" w:type="pct"/>
            <w:tcBorders>
              <w:top w:val="single" w:sz="4" w:space="0" w:color="auto"/>
              <w:bottom w:val="single" w:sz="4" w:space="0" w:color="auto"/>
            </w:tcBorders>
          </w:tcPr>
          <w:p w14:paraId="32EC4103" w14:textId="229B6EED" w:rsidR="00D14B5D" w:rsidRDefault="17021632" w:rsidP="17021632">
            <w:pPr>
              <w:pStyle w:val="anslagstabell"/>
              <w:jc w:val="center"/>
              <w:rPr>
                <w:b/>
                <w:bCs/>
              </w:rPr>
            </w:pPr>
            <w:r w:rsidRPr="17021632">
              <w:rPr>
                <w:b/>
                <w:bCs/>
              </w:rPr>
              <w:t>2021</w:t>
            </w:r>
          </w:p>
        </w:tc>
        <w:tc>
          <w:tcPr>
            <w:tcW w:w="691" w:type="pct"/>
            <w:tcBorders>
              <w:top w:val="single" w:sz="4" w:space="0" w:color="auto"/>
              <w:bottom w:val="single" w:sz="4" w:space="0" w:color="auto"/>
            </w:tcBorders>
          </w:tcPr>
          <w:p w14:paraId="2C86DEB1" w14:textId="274D25BF" w:rsidR="00D14B5D" w:rsidRDefault="17021632" w:rsidP="17021632">
            <w:pPr>
              <w:pStyle w:val="anslagstabell"/>
              <w:jc w:val="center"/>
              <w:rPr>
                <w:b/>
                <w:bCs/>
              </w:rPr>
            </w:pPr>
            <w:r w:rsidRPr="17021632">
              <w:rPr>
                <w:b/>
                <w:bCs/>
              </w:rPr>
              <w:t>2022</w:t>
            </w:r>
          </w:p>
        </w:tc>
        <w:tc>
          <w:tcPr>
            <w:tcW w:w="692" w:type="pct"/>
            <w:tcBorders>
              <w:top w:val="single" w:sz="4" w:space="0" w:color="auto"/>
              <w:bottom w:val="single" w:sz="4" w:space="0" w:color="auto"/>
            </w:tcBorders>
          </w:tcPr>
          <w:p w14:paraId="4D19F488" w14:textId="2461B1EC" w:rsidR="00D14B5D" w:rsidRDefault="17021632" w:rsidP="17021632">
            <w:pPr>
              <w:pStyle w:val="anslagstabell"/>
              <w:jc w:val="center"/>
              <w:rPr>
                <w:b/>
                <w:bCs/>
              </w:rPr>
            </w:pPr>
            <w:r w:rsidRPr="17021632">
              <w:rPr>
                <w:b/>
                <w:bCs/>
              </w:rPr>
              <w:t>2023</w:t>
            </w:r>
          </w:p>
        </w:tc>
      </w:tr>
      <w:tr w:rsidR="00FD46AD" w:rsidRPr="008244FA" w14:paraId="12A09464" w14:textId="77777777" w:rsidTr="006951BF">
        <w:trPr>
          <w:trHeight w:val="265"/>
        </w:trPr>
        <w:tc>
          <w:tcPr>
            <w:tcW w:w="1544" w:type="pct"/>
            <w:tcBorders>
              <w:top w:val="single" w:sz="4" w:space="0" w:color="auto"/>
            </w:tcBorders>
          </w:tcPr>
          <w:p w14:paraId="2404BED6" w14:textId="19A3ECE2" w:rsidR="00FD46AD" w:rsidRPr="008244FA" w:rsidRDefault="17021632" w:rsidP="17021632">
            <w:pPr>
              <w:pStyle w:val="anslagstabell"/>
              <w:rPr>
                <w:b/>
                <w:bCs/>
              </w:rPr>
            </w:pPr>
            <w:r w:rsidRPr="17021632">
              <w:rPr>
                <w:b/>
                <w:bCs/>
              </w:rPr>
              <w:t>Föregående prognos</w:t>
            </w:r>
          </w:p>
        </w:tc>
        <w:tc>
          <w:tcPr>
            <w:tcW w:w="691" w:type="pct"/>
            <w:tcBorders>
              <w:top w:val="single" w:sz="4" w:space="0" w:color="auto"/>
            </w:tcBorders>
            <w:vAlign w:val="center"/>
          </w:tcPr>
          <w:p w14:paraId="6519DACD" w14:textId="165ABF09" w:rsidR="00FD46AD" w:rsidRPr="006951BF" w:rsidRDefault="17021632" w:rsidP="17021632">
            <w:pPr>
              <w:pStyle w:val="anslagstabell-hgerstlld"/>
              <w:rPr>
                <w:b/>
                <w:bCs/>
                <w:sz w:val="16"/>
                <w:szCs w:val="16"/>
              </w:rPr>
            </w:pPr>
            <w:r w:rsidRPr="006951BF">
              <w:rPr>
                <w:b/>
                <w:bCs/>
                <w:sz w:val="16"/>
                <w:szCs w:val="16"/>
              </w:rPr>
              <w:t>329 396 000</w:t>
            </w:r>
          </w:p>
        </w:tc>
        <w:tc>
          <w:tcPr>
            <w:tcW w:w="691" w:type="pct"/>
            <w:tcBorders>
              <w:top w:val="single" w:sz="4" w:space="0" w:color="auto"/>
            </w:tcBorders>
            <w:vAlign w:val="center"/>
          </w:tcPr>
          <w:p w14:paraId="2BEBDA1E" w14:textId="12C49EC2" w:rsidR="00FD46AD" w:rsidRPr="006951BF" w:rsidRDefault="17021632" w:rsidP="17021632">
            <w:pPr>
              <w:pStyle w:val="anslagstabell-hgerstlld"/>
              <w:rPr>
                <w:b/>
                <w:bCs/>
                <w:sz w:val="16"/>
                <w:szCs w:val="16"/>
              </w:rPr>
            </w:pPr>
            <w:r w:rsidRPr="006951BF">
              <w:rPr>
                <w:b/>
                <w:bCs/>
                <w:sz w:val="16"/>
                <w:szCs w:val="16"/>
              </w:rPr>
              <w:t>343 986 000</w:t>
            </w:r>
          </w:p>
        </w:tc>
        <w:tc>
          <w:tcPr>
            <w:tcW w:w="692" w:type="pct"/>
            <w:tcBorders>
              <w:top w:val="single" w:sz="4" w:space="0" w:color="auto"/>
            </w:tcBorders>
            <w:vAlign w:val="center"/>
          </w:tcPr>
          <w:p w14:paraId="121B7D1B" w14:textId="76FD7AA4" w:rsidR="00FD46AD" w:rsidRPr="006951BF" w:rsidRDefault="17021632" w:rsidP="17021632">
            <w:pPr>
              <w:pStyle w:val="anslagstabell-hgerstlld"/>
              <w:rPr>
                <w:b/>
                <w:bCs/>
                <w:sz w:val="16"/>
                <w:szCs w:val="16"/>
              </w:rPr>
            </w:pPr>
            <w:r w:rsidRPr="006951BF">
              <w:rPr>
                <w:b/>
                <w:bCs/>
                <w:sz w:val="16"/>
                <w:szCs w:val="16"/>
              </w:rPr>
              <w:t>352 706 000</w:t>
            </w:r>
          </w:p>
        </w:tc>
        <w:tc>
          <w:tcPr>
            <w:tcW w:w="691" w:type="pct"/>
            <w:tcBorders>
              <w:top w:val="single" w:sz="4" w:space="0" w:color="auto"/>
            </w:tcBorders>
            <w:vAlign w:val="center"/>
          </w:tcPr>
          <w:p w14:paraId="439B1DDF" w14:textId="20F963FF" w:rsidR="00FD46AD" w:rsidRPr="006951BF" w:rsidRDefault="17021632" w:rsidP="17021632">
            <w:pPr>
              <w:pStyle w:val="anslagstabell-hgerstlld"/>
              <w:rPr>
                <w:b/>
                <w:bCs/>
                <w:sz w:val="16"/>
                <w:szCs w:val="16"/>
              </w:rPr>
            </w:pPr>
            <w:r w:rsidRPr="006951BF">
              <w:rPr>
                <w:b/>
                <w:bCs/>
                <w:sz w:val="16"/>
                <w:szCs w:val="16"/>
              </w:rPr>
              <w:t>363 801 000</w:t>
            </w:r>
          </w:p>
        </w:tc>
        <w:tc>
          <w:tcPr>
            <w:tcW w:w="692" w:type="pct"/>
            <w:tcBorders>
              <w:top w:val="single" w:sz="4" w:space="0" w:color="auto"/>
            </w:tcBorders>
            <w:vAlign w:val="center"/>
          </w:tcPr>
          <w:p w14:paraId="30D5BC2B" w14:textId="641F238E" w:rsidR="00FD46AD" w:rsidRPr="006951BF" w:rsidRDefault="17021632" w:rsidP="17021632">
            <w:pPr>
              <w:pStyle w:val="anslagstabell-hgerstlld"/>
              <w:rPr>
                <w:b/>
                <w:bCs/>
                <w:sz w:val="16"/>
                <w:szCs w:val="16"/>
              </w:rPr>
            </w:pPr>
            <w:r w:rsidRPr="006951BF">
              <w:rPr>
                <w:b/>
                <w:bCs/>
                <w:sz w:val="16"/>
                <w:szCs w:val="16"/>
              </w:rPr>
              <w:t>376 536 000</w:t>
            </w:r>
          </w:p>
        </w:tc>
      </w:tr>
      <w:tr w:rsidR="00FD46AD" w:rsidRPr="00B44852" w14:paraId="0D108E5A" w14:textId="77777777" w:rsidTr="006951BF">
        <w:trPr>
          <w:trHeight w:val="491"/>
        </w:trPr>
        <w:tc>
          <w:tcPr>
            <w:tcW w:w="1544" w:type="pct"/>
          </w:tcPr>
          <w:p w14:paraId="356980D8" w14:textId="4F900BBD" w:rsidR="00FD46AD" w:rsidRPr="00E42A5B" w:rsidRDefault="17021632" w:rsidP="17021632">
            <w:pPr>
              <w:pStyle w:val="anslagstabell"/>
              <w:rPr>
                <w:b/>
                <w:bCs/>
              </w:rPr>
            </w:pPr>
            <w:r w:rsidRPr="17021632">
              <w:rPr>
                <w:b/>
                <w:bCs/>
              </w:rPr>
              <w:t>Varav utgifter under utgiftstaket</w:t>
            </w:r>
          </w:p>
        </w:tc>
        <w:tc>
          <w:tcPr>
            <w:tcW w:w="691" w:type="pct"/>
            <w:vAlign w:val="center"/>
          </w:tcPr>
          <w:p w14:paraId="2B80A102" w14:textId="2B13FCB5" w:rsidR="00FD46AD" w:rsidRPr="006951BF" w:rsidRDefault="17021632" w:rsidP="006951BF">
            <w:pPr>
              <w:pStyle w:val="anslagstabell-hgerstlld"/>
              <w:rPr>
                <w:b/>
                <w:bCs/>
                <w:sz w:val="16"/>
                <w:szCs w:val="16"/>
              </w:rPr>
            </w:pPr>
            <w:r w:rsidRPr="006951BF">
              <w:rPr>
                <w:b/>
                <w:bCs/>
                <w:sz w:val="16"/>
                <w:szCs w:val="16"/>
              </w:rPr>
              <w:t>317 676 000</w:t>
            </w:r>
          </w:p>
        </w:tc>
        <w:tc>
          <w:tcPr>
            <w:tcW w:w="691" w:type="pct"/>
            <w:vAlign w:val="center"/>
          </w:tcPr>
          <w:p w14:paraId="00AD8898" w14:textId="38D27077" w:rsidR="00FD46AD" w:rsidRPr="006951BF" w:rsidRDefault="17021632" w:rsidP="006951BF">
            <w:pPr>
              <w:pStyle w:val="anslagstabell-hgerstlld"/>
              <w:rPr>
                <w:b/>
                <w:bCs/>
                <w:sz w:val="16"/>
                <w:szCs w:val="16"/>
              </w:rPr>
            </w:pPr>
            <w:r w:rsidRPr="006951BF">
              <w:rPr>
                <w:b/>
                <w:bCs/>
                <w:sz w:val="16"/>
                <w:szCs w:val="16"/>
              </w:rPr>
              <w:t>329 161 000</w:t>
            </w:r>
          </w:p>
        </w:tc>
        <w:tc>
          <w:tcPr>
            <w:tcW w:w="692" w:type="pct"/>
            <w:vAlign w:val="center"/>
          </w:tcPr>
          <w:p w14:paraId="1C5DF1E8" w14:textId="7C314E5B" w:rsidR="00FD46AD" w:rsidRPr="006951BF" w:rsidRDefault="17021632" w:rsidP="006951BF">
            <w:pPr>
              <w:pStyle w:val="anslagstabell-hgerstlld"/>
              <w:rPr>
                <w:b/>
                <w:bCs/>
                <w:sz w:val="16"/>
                <w:szCs w:val="16"/>
              </w:rPr>
            </w:pPr>
            <w:r w:rsidRPr="006951BF">
              <w:rPr>
                <w:b/>
                <w:bCs/>
                <w:sz w:val="16"/>
                <w:szCs w:val="16"/>
              </w:rPr>
              <w:t>335 588 000</w:t>
            </w:r>
          </w:p>
        </w:tc>
        <w:tc>
          <w:tcPr>
            <w:tcW w:w="691" w:type="pct"/>
            <w:vAlign w:val="center"/>
          </w:tcPr>
          <w:p w14:paraId="5B161E15" w14:textId="0A98040E" w:rsidR="00FD46AD" w:rsidRPr="006951BF" w:rsidRDefault="17021632" w:rsidP="006951BF">
            <w:pPr>
              <w:pStyle w:val="anslagstabell-hgerstlld"/>
              <w:rPr>
                <w:b/>
                <w:bCs/>
                <w:sz w:val="16"/>
                <w:szCs w:val="16"/>
              </w:rPr>
            </w:pPr>
            <w:r w:rsidRPr="006951BF">
              <w:rPr>
                <w:b/>
                <w:bCs/>
                <w:sz w:val="16"/>
                <w:szCs w:val="16"/>
              </w:rPr>
              <w:t>344 077 000</w:t>
            </w:r>
          </w:p>
        </w:tc>
        <w:tc>
          <w:tcPr>
            <w:tcW w:w="692" w:type="pct"/>
            <w:vAlign w:val="center"/>
          </w:tcPr>
          <w:p w14:paraId="7A8CF7EF" w14:textId="5A4621EB" w:rsidR="00FD46AD" w:rsidRPr="006951BF" w:rsidRDefault="17021632" w:rsidP="006951BF">
            <w:pPr>
              <w:pStyle w:val="anslagstabell-hgerstlld"/>
              <w:rPr>
                <w:b/>
                <w:bCs/>
                <w:sz w:val="16"/>
                <w:szCs w:val="16"/>
              </w:rPr>
            </w:pPr>
            <w:r w:rsidRPr="006951BF">
              <w:rPr>
                <w:b/>
                <w:bCs/>
                <w:sz w:val="16"/>
                <w:szCs w:val="16"/>
              </w:rPr>
              <w:t>353 985 000</w:t>
            </w:r>
          </w:p>
        </w:tc>
      </w:tr>
      <w:tr w:rsidR="00FD46AD" w:rsidRPr="00B44852" w14:paraId="371423C7" w14:textId="77777777" w:rsidTr="006951BF">
        <w:trPr>
          <w:trHeight w:val="481"/>
        </w:trPr>
        <w:tc>
          <w:tcPr>
            <w:tcW w:w="1544" w:type="pct"/>
          </w:tcPr>
          <w:p w14:paraId="4F31D65B" w14:textId="3B12C617" w:rsidR="00FD46AD" w:rsidRPr="00B44852" w:rsidRDefault="17021632" w:rsidP="00FD46AD">
            <w:pPr>
              <w:pStyle w:val="anslagstabell"/>
            </w:pPr>
            <w:r>
              <w:t>Ändrade makroekonomiska antaganden</w:t>
            </w:r>
          </w:p>
        </w:tc>
        <w:tc>
          <w:tcPr>
            <w:tcW w:w="691" w:type="pct"/>
          </w:tcPr>
          <w:p w14:paraId="45F93BB9" w14:textId="5762742F" w:rsidR="00FD46AD" w:rsidRPr="006951BF" w:rsidRDefault="00FD46AD" w:rsidP="00FD46AD">
            <w:pPr>
              <w:pStyle w:val="anslagstabell-hgerstlld"/>
              <w:rPr>
                <w:sz w:val="16"/>
                <w:szCs w:val="16"/>
              </w:rPr>
            </w:pPr>
          </w:p>
        </w:tc>
        <w:tc>
          <w:tcPr>
            <w:tcW w:w="691" w:type="pct"/>
          </w:tcPr>
          <w:p w14:paraId="0574F9CF" w14:textId="5FB5AAB3" w:rsidR="00FD46AD" w:rsidRPr="006951BF" w:rsidRDefault="00FD46AD" w:rsidP="00FD46AD">
            <w:pPr>
              <w:pStyle w:val="anslagstabell-hgerstlld"/>
              <w:rPr>
                <w:sz w:val="16"/>
                <w:szCs w:val="16"/>
              </w:rPr>
            </w:pPr>
          </w:p>
        </w:tc>
        <w:tc>
          <w:tcPr>
            <w:tcW w:w="692" w:type="pct"/>
          </w:tcPr>
          <w:p w14:paraId="73A02641" w14:textId="5358D28C" w:rsidR="00FD46AD" w:rsidRPr="006951BF" w:rsidRDefault="00FF5302" w:rsidP="00FD46AD">
            <w:pPr>
              <w:pStyle w:val="anslagstabell-hgerstlld"/>
              <w:rPr>
                <w:sz w:val="16"/>
                <w:szCs w:val="16"/>
              </w:rPr>
            </w:pPr>
            <w:r>
              <w:rPr>
                <w:sz w:val="16"/>
                <w:szCs w:val="16"/>
              </w:rPr>
              <w:t>-18 000</w:t>
            </w:r>
          </w:p>
        </w:tc>
        <w:tc>
          <w:tcPr>
            <w:tcW w:w="691" w:type="pct"/>
          </w:tcPr>
          <w:p w14:paraId="61E88452" w14:textId="638B2469" w:rsidR="00FD46AD" w:rsidRPr="006951BF" w:rsidRDefault="00FF5302" w:rsidP="00FD46AD">
            <w:pPr>
              <w:pStyle w:val="anslagstabell-hgerstlld"/>
              <w:rPr>
                <w:sz w:val="16"/>
                <w:szCs w:val="16"/>
              </w:rPr>
            </w:pPr>
            <w:r>
              <w:rPr>
                <w:sz w:val="16"/>
                <w:szCs w:val="16"/>
              </w:rPr>
              <w:t>+537 000</w:t>
            </w:r>
          </w:p>
        </w:tc>
        <w:tc>
          <w:tcPr>
            <w:tcW w:w="692" w:type="pct"/>
          </w:tcPr>
          <w:p w14:paraId="30292F9B" w14:textId="27A1F17F" w:rsidR="00FD46AD" w:rsidRPr="006951BF" w:rsidRDefault="00FF5302" w:rsidP="00FD46AD">
            <w:pPr>
              <w:pStyle w:val="anslagstabell-hgerstlld"/>
              <w:rPr>
                <w:sz w:val="16"/>
                <w:szCs w:val="16"/>
              </w:rPr>
            </w:pPr>
            <w:r>
              <w:rPr>
                <w:sz w:val="16"/>
                <w:szCs w:val="16"/>
              </w:rPr>
              <w:t>+501 000</w:t>
            </w:r>
          </w:p>
        </w:tc>
      </w:tr>
      <w:tr w:rsidR="00FD46AD" w:rsidRPr="00B44852" w14:paraId="0DEAB7FD" w14:textId="77777777" w:rsidTr="006951BF">
        <w:trPr>
          <w:trHeight w:val="275"/>
        </w:trPr>
        <w:tc>
          <w:tcPr>
            <w:tcW w:w="1544" w:type="pct"/>
          </w:tcPr>
          <w:p w14:paraId="1AAD544C" w14:textId="7277DD8B" w:rsidR="00FD46AD" w:rsidRPr="00B44852" w:rsidRDefault="17021632" w:rsidP="00FD46AD">
            <w:pPr>
              <w:pStyle w:val="anslagstabell"/>
            </w:pPr>
            <w:r>
              <w:t>Volym- och strukturförändringar</w:t>
            </w:r>
          </w:p>
        </w:tc>
        <w:tc>
          <w:tcPr>
            <w:tcW w:w="691" w:type="pct"/>
          </w:tcPr>
          <w:p w14:paraId="0687BAA2" w14:textId="34082BD4" w:rsidR="00FD46AD" w:rsidRPr="006951BF" w:rsidRDefault="002E3D0A" w:rsidP="00FD46AD">
            <w:pPr>
              <w:pStyle w:val="anslagstabell-hgerstlld"/>
              <w:rPr>
                <w:sz w:val="16"/>
                <w:szCs w:val="16"/>
              </w:rPr>
            </w:pPr>
            <w:r>
              <w:rPr>
                <w:sz w:val="16"/>
                <w:szCs w:val="16"/>
              </w:rPr>
              <w:t>-33 700</w:t>
            </w:r>
          </w:p>
        </w:tc>
        <w:tc>
          <w:tcPr>
            <w:tcW w:w="691" w:type="pct"/>
          </w:tcPr>
          <w:p w14:paraId="200F9638" w14:textId="44D7F50E" w:rsidR="00FD46AD" w:rsidRPr="006951BF" w:rsidRDefault="002E3D0A" w:rsidP="00FD46AD">
            <w:pPr>
              <w:pStyle w:val="anslagstabell-hgerstlld"/>
              <w:rPr>
                <w:sz w:val="16"/>
                <w:szCs w:val="16"/>
              </w:rPr>
            </w:pPr>
            <w:r>
              <w:rPr>
                <w:sz w:val="16"/>
                <w:szCs w:val="16"/>
              </w:rPr>
              <w:t>+439 000</w:t>
            </w:r>
          </w:p>
        </w:tc>
        <w:tc>
          <w:tcPr>
            <w:tcW w:w="692" w:type="pct"/>
          </w:tcPr>
          <w:p w14:paraId="1102B31F" w14:textId="4C19C052" w:rsidR="00FD46AD" w:rsidRPr="006951BF" w:rsidRDefault="002E3D0A" w:rsidP="00FD46AD">
            <w:pPr>
              <w:pStyle w:val="anslagstabell-hgerstlld"/>
              <w:rPr>
                <w:sz w:val="16"/>
                <w:szCs w:val="16"/>
              </w:rPr>
            </w:pPr>
            <w:r>
              <w:rPr>
                <w:sz w:val="16"/>
                <w:szCs w:val="16"/>
              </w:rPr>
              <w:t>+35</w:t>
            </w:r>
            <w:r w:rsidR="009429FC">
              <w:rPr>
                <w:sz w:val="16"/>
                <w:szCs w:val="16"/>
              </w:rPr>
              <w:t>9</w:t>
            </w:r>
            <w:r>
              <w:rPr>
                <w:sz w:val="16"/>
                <w:szCs w:val="16"/>
              </w:rPr>
              <w:t xml:space="preserve"> 000</w:t>
            </w:r>
          </w:p>
        </w:tc>
        <w:tc>
          <w:tcPr>
            <w:tcW w:w="691" w:type="pct"/>
          </w:tcPr>
          <w:p w14:paraId="2F9E5865" w14:textId="5A1CCB34" w:rsidR="00FD46AD" w:rsidRPr="006951BF" w:rsidRDefault="002E3D0A" w:rsidP="00FD46AD">
            <w:pPr>
              <w:pStyle w:val="anslagstabell-hgerstlld"/>
              <w:rPr>
                <w:sz w:val="16"/>
                <w:szCs w:val="16"/>
              </w:rPr>
            </w:pPr>
            <w:r>
              <w:rPr>
                <w:sz w:val="16"/>
                <w:szCs w:val="16"/>
              </w:rPr>
              <w:t>+5</w:t>
            </w:r>
            <w:r w:rsidR="00B74586">
              <w:rPr>
                <w:sz w:val="16"/>
                <w:szCs w:val="16"/>
              </w:rPr>
              <w:t>2</w:t>
            </w:r>
            <w:r w:rsidR="00664885">
              <w:rPr>
                <w:sz w:val="16"/>
                <w:szCs w:val="16"/>
              </w:rPr>
              <w:t>8</w:t>
            </w:r>
            <w:r>
              <w:rPr>
                <w:sz w:val="16"/>
                <w:szCs w:val="16"/>
              </w:rPr>
              <w:t xml:space="preserve"> 000</w:t>
            </w:r>
          </w:p>
        </w:tc>
        <w:tc>
          <w:tcPr>
            <w:tcW w:w="692" w:type="pct"/>
          </w:tcPr>
          <w:p w14:paraId="68B1F401" w14:textId="7EECD6D7" w:rsidR="00FD46AD" w:rsidRPr="006951BF" w:rsidRDefault="002E3D0A" w:rsidP="00FD46AD">
            <w:pPr>
              <w:pStyle w:val="anslagstabell-hgerstlld"/>
              <w:rPr>
                <w:sz w:val="16"/>
                <w:szCs w:val="16"/>
              </w:rPr>
            </w:pPr>
            <w:r>
              <w:rPr>
                <w:sz w:val="16"/>
                <w:szCs w:val="16"/>
              </w:rPr>
              <w:t>+</w:t>
            </w:r>
            <w:r w:rsidR="009F48FA">
              <w:rPr>
                <w:sz w:val="16"/>
                <w:szCs w:val="16"/>
              </w:rPr>
              <w:t>7</w:t>
            </w:r>
            <w:r w:rsidR="00B74586">
              <w:rPr>
                <w:sz w:val="16"/>
                <w:szCs w:val="16"/>
              </w:rPr>
              <w:t>4</w:t>
            </w:r>
            <w:r w:rsidR="00FF1D30">
              <w:rPr>
                <w:sz w:val="16"/>
                <w:szCs w:val="16"/>
              </w:rPr>
              <w:t>9</w:t>
            </w:r>
            <w:r>
              <w:rPr>
                <w:sz w:val="16"/>
                <w:szCs w:val="16"/>
              </w:rPr>
              <w:t xml:space="preserve"> 000</w:t>
            </w:r>
          </w:p>
        </w:tc>
      </w:tr>
      <w:tr w:rsidR="00FD46AD" w:rsidRPr="00B44852" w14:paraId="35A1F465" w14:textId="77777777" w:rsidTr="006951BF">
        <w:trPr>
          <w:trHeight w:val="275"/>
        </w:trPr>
        <w:tc>
          <w:tcPr>
            <w:tcW w:w="1544" w:type="pct"/>
          </w:tcPr>
          <w:p w14:paraId="00A10E6D" w14:textId="3FCEE798" w:rsidR="00FD46AD" w:rsidRPr="00B44852" w:rsidRDefault="17021632" w:rsidP="00FD46AD">
            <w:pPr>
              <w:pStyle w:val="anslagstabell"/>
            </w:pPr>
            <w:r>
              <w:t>Ny regeländring</w:t>
            </w:r>
          </w:p>
        </w:tc>
        <w:tc>
          <w:tcPr>
            <w:tcW w:w="691" w:type="pct"/>
          </w:tcPr>
          <w:p w14:paraId="3DB310D6" w14:textId="084D2D55" w:rsidR="00FD46AD" w:rsidRPr="006951BF" w:rsidRDefault="00FD46AD" w:rsidP="00FD46AD">
            <w:pPr>
              <w:pStyle w:val="anslagstabell-hgerstlld"/>
              <w:rPr>
                <w:sz w:val="16"/>
                <w:szCs w:val="16"/>
              </w:rPr>
            </w:pPr>
          </w:p>
        </w:tc>
        <w:tc>
          <w:tcPr>
            <w:tcW w:w="691" w:type="pct"/>
          </w:tcPr>
          <w:p w14:paraId="1999C626" w14:textId="1501FCD5" w:rsidR="00FD46AD" w:rsidRPr="006951BF" w:rsidRDefault="00FD46AD" w:rsidP="00FD46AD">
            <w:pPr>
              <w:pStyle w:val="anslagstabell-hgerstlld"/>
              <w:rPr>
                <w:sz w:val="16"/>
                <w:szCs w:val="16"/>
              </w:rPr>
            </w:pPr>
          </w:p>
        </w:tc>
        <w:tc>
          <w:tcPr>
            <w:tcW w:w="692" w:type="pct"/>
          </w:tcPr>
          <w:p w14:paraId="3B536E08" w14:textId="1F6F89B1" w:rsidR="00FD46AD" w:rsidRPr="006951BF" w:rsidRDefault="00FD46AD" w:rsidP="00FD46AD">
            <w:pPr>
              <w:pStyle w:val="anslagstabell-hgerstlld"/>
              <w:rPr>
                <w:sz w:val="16"/>
                <w:szCs w:val="16"/>
              </w:rPr>
            </w:pPr>
          </w:p>
        </w:tc>
        <w:tc>
          <w:tcPr>
            <w:tcW w:w="691" w:type="pct"/>
          </w:tcPr>
          <w:p w14:paraId="0AB0F4AA" w14:textId="3392BD28" w:rsidR="00FD46AD" w:rsidRPr="006951BF" w:rsidRDefault="00FD46AD" w:rsidP="00FD46AD">
            <w:pPr>
              <w:pStyle w:val="anslagstabell-hgerstlld"/>
              <w:rPr>
                <w:sz w:val="16"/>
                <w:szCs w:val="16"/>
              </w:rPr>
            </w:pPr>
          </w:p>
        </w:tc>
        <w:tc>
          <w:tcPr>
            <w:tcW w:w="692" w:type="pct"/>
          </w:tcPr>
          <w:p w14:paraId="41A6C35F" w14:textId="6444D5E7" w:rsidR="00FD46AD" w:rsidRPr="006951BF" w:rsidRDefault="00FD46AD" w:rsidP="00FD46AD">
            <w:pPr>
              <w:pStyle w:val="anslagstabell-hgerstlld"/>
              <w:rPr>
                <w:sz w:val="16"/>
                <w:szCs w:val="16"/>
              </w:rPr>
            </w:pPr>
          </w:p>
        </w:tc>
      </w:tr>
      <w:tr w:rsidR="00FD46AD" w:rsidRPr="00B44852" w14:paraId="4D7F5473" w14:textId="77777777" w:rsidTr="006951BF">
        <w:trPr>
          <w:trHeight w:val="265"/>
        </w:trPr>
        <w:tc>
          <w:tcPr>
            <w:tcW w:w="1544" w:type="pct"/>
          </w:tcPr>
          <w:p w14:paraId="21299B36" w14:textId="4C89F9E6" w:rsidR="00FD46AD" w:rsidRDefault="17021632" w:rsidP="00FD46AD">
            <w:pPr>
              <w:pStyle w:val="anslagstabell"/>
            </w:pPr>
            <w:r>
              <w:t>Förändring av överföringar till EG</w:t>
            </w:r>
          </w:p>
        </w:tc>
        <w:tc>
          <w:tcPr>
            <w:tcW w:w="691" w:type="pct"/>
          </w:tcPr>
          <w:p w14:paraId="54343C42" w14:textId="33527555" w:rsidR="00FD46AD" w:rsidRPr="006951BF" w:rsidRDefault="002E3D0A" w:rsidP="00FD46AD">
            <w:pPr>
              <w:pStyle w:val="anslagstabell-hgerstlld"/>
              <w:rPr>
                <w:sz w:val="16"/>
                <w:szCs w:val="16"/>
              </w:rPr>
            </w:pPr>
            <w:r>
              <w:rPr>
                <w:sz w:val="16"/>
                <w:szCs w:val="16"/>
              </w:rPr>
              <w:t>-7 000</w:t>
            </w:r>
          </w:p>
        </w:tc>
        <w:tc>
          <w:tcPr>
            <w:tcW w:w="691" w:type="pct"/>
          </w:tcPr>
          <w:p w14:paraId="72F8A16A" w14:textId="1F2E2BAC" w:rsidR="00FD46AD" w:rsidRPr="006951BF" w:rsidRDefault="00FD46AD" w:rsidP="00FD46AD">
            <w:pPr>
              <w:pStyle w:val="anslagstabell-hgerstlld"/>
              <w:rPr>
                <w:sz w:val="16"/>
                <w:szCs w:val="16"/>
              </w:rPr>
            </w:pPr>
          </w:p>
        </w:tc>
        <w:tc>
          <w:tcPr>
            <w:tcW w:w="692" w:type="pct"/>
          </w:tcPr>
          <w:p w14:paraId="47555FDC" w14:textId="4C818091" w:rsidR="00FD46AD" w:rsidRPr="006951BF" w:rsidRDefault="00FD46AD" w:rsidP="00FD46AD">
            <w:pPr>
              <w:pStyle w:val="anslagstabell-hgerstlld"/>
              <w:rPr>
                <w:sz w:val="16"/>
                <w:szCs w:val="16"/>
              </w:rPr>
            </w:pPr>
          </w:p>
        </w:tc>
        <w:tc>
          <w:tcPr>
            <w:tcW w:w="691" w:type="pct"/>
          </w:tcPr>
          <w:p w14:paraId="314B5A9B" w14:textId="47ACEFC3" w:rsidR="00FD46AD" w:rsidRPr="006951BF" w:rsidRDefault="002E3D0A" w:rsidP="00FD46AD">
            <w:pPr>
              <w:pStyle w:val="anslagstabell-hgerstlld"/>
              <w:rPr>
                <w:sz w:val="16"/>
                <w:szCs w:val="16"/>
              </w:rPr>
            </w:pPr>
            <w:r>
              <w:rPr>
                <w:sz w:val="16"/>
                <w:szCs w:val="16"/>
              </w:rPr>
              <w:t>-1 000</w:t>
            </w:r>
          </w:p>
        </w:tc>
        <w:tc>
          <w:tcPr>
            <w:tcW w:w="692" w:type="pct"/>
          </w:tcPr>
          <w:p w14:paraId="32DFC46D" w14:textId="33B6FCB7" w:rsidR="00FD46AD" w:rsidRPr="006951BF" w:rsidRDefault="002E3D0A" w:rsidP="00FD46AD">
            <w:pPr>
              <w:pStyle w:val="anslagstabell-hgerstlld"/>
              <w:rPr>
                <w:sz w:val="16"/>
                <w:szCs w:val="16"/>
              </w:rPr>
            </w:pPr>
            <w:r>
              <w:rPr>
                <w:sz w:val="16"/>
                <w:szCs w:val="16"/>
              </w:rPr>
              <w:t>-1 000</w:t>
            </w:r>
          </w:p>
        </w:tc>
      </w:tr>
      <w:tr w:rsidR="00FD46AD" w:rsidRPr="00B44852" w14:paraId="0A8D0920" w14:textId="77777777" w:rsidTr="006951BF">
        <w:trPr>
          <w:trHeight w:val="491"/>
        </w:trPr>
        <w:tc>
          <w:tcPr>
            <w:tcW w:w="1544" w:type="pct"/>
          </w:tcPr>
          <w:p w14:paraId="28D7AB3A" w14:textId="727A2818" w:rsidR="00FD46AD" w:rsidRDefault="17021632" w:rsidP="00FD46AD">
            <w:pPr>
              <w:pStyle w:val="anslagstabell"/>
            </w:pPr>
            <w:r>
              <w:t>Förändring av administrationskostnader</w:t>
            </w:r>
          </w:p>
        </w:tc>
        <w:tc>
          <w:tcPr>
            <w:tcW w:w="691" w:type="pct"/>
          </w:tcPr>
          <w:p w14:paraId="74D095AD" w14:textId="79006881" w:rsidR="00FD46AD" w:rsidRPr="006951BF" w:rsidRDefault="00DD40F2" w:rsidP="00FD46AD">
            <w:pPr>
              <w:pStyle w:val="anslagstabell-hgerstlld"/>
              <w:rPr>
                <w:sz w:val="16"/>
                <w:szCs w:val="16"/>
              </w:rPr>
            </w:pPr>
            <w:r>
              <w:rPr>
                <w:sz w:val="16"/>
                <w:szCs w:val="16"/>
              </w:rPr>
              <w:t>-8 600</w:t>
            </w:r>
          </w:p>
        </w:tc>
        <w:tc>
          <w:tcPr>
            <w:tcW w:w="691" w:type="pct"/>
          </w:tcPr>
          <w:p w14:paraId="010B043D" w14:textId="00D32234" w:rsidR="00FD46AD" w:rsidRPr="006951BF" w:rsidRDefault="00684C9F" w:rsidP="00FD46AD">
            <w:pPr>
              <w:pStyle w:val="anslagstabell-hgerstlld"/>
              <w:rPr>
                <w:sz w:val="16"/>
                <w:szCs w:val="16"/>
              </w:rPr>
            </w:pPr>
            <w:r>
              <w:rPr>
                <w:sz w:val="16"/>
                <w:szCs w:val="16"/>
              </w:rPr>
              <w:t>+2 000</w:t>
            </w:r>
          </w:p>
        </w:tc>
        <w:tc>
          <w:tcPr>
            <w:tcW w:w="692" w:type="pct"/>
          </w:tcPr>
          <w:p w14:paraId="1EAE4B57" w14:textId="15E50D07" w:rsidR="00FD46AD" w:rsidRPr="006951BF" w:rsidRDefault="00684C9F" w:rsidP="00FD46AD">
            <w:pPr>
              <w:pStyle w:val="anslagstabell-hgerstlld"/>
              <w:rPr>
                <w:sz w:val="16"/>
                <w:szCs w:val="16"/>
              </w:rPr>
            </w:pPr>
            <w:r>
              <w:rPr>
                <w:sz w:val="16"/>
                <w:szCs w:val="16"/>
              </w:rPr>
              <w:t>-3 000</w:t>
            </w:r>
          </w:p>
        </w:tc>
        <w:tc>
          <w:tcPr>
            <w:tcW w:w="691" w:type="pct"/>
          </w:tcPr>
          <w:p w14:paraId="1F8CFE68" w14:textId="7B95741F" w:rsidR="00FD46AD" w:rsidRPr="006951BF" w:rsidRDefault="00684C9F" w:rsidP="00FD46AD">
            <w:pPr>
              <w:pStyle w:val="anslagstabell-hgerstlld"/>
              <w:rPr>
                <w:sz w:val="16"/>
                <w:szCs w:val="16"/>
              </w:rPr>
            </w:pPr>
            <w:r>
              <w:rPr>
                <w:sz w:val="16"/>
                <w:szCs w:val="16"/>
              </w:rPr>
              <w:t>+4 000</w:t>
            </w:r>
          </w:p>
        </w:tc>
        <w:tc>
          <w:tcPr>
            <w:tcW w:w="692" w:type="pct"/>
          </w:tcPr>
          <w:p w14:paraId="7F08AACA" w14:textId="09EB98E4" w:rsidR="00FD46AD" w:rsidRPr="006951BF" w:rsidRDefault="00684C9F" w:rsidP="00FD46AD">
            <w:pPr>
              <w:pStyle w:val="anslagstabell-hgerstlld"/>
              <w:rPr>
                <w:sz w:val="16"/>
                <w:szCs w:val="16"/>
              </w:rPr>
            </w:pPr>
            <w:r>
              <w:rPr>
                <w:sz w:val="16"/>
                <w:szCs w:val="16"/>
              </w:rPr>
              <w:t>+11 000</w:t>
            </w:r>
          </w:p>
        </w:tc>
      </w:tr>
      <w:tr w:rsidR="00FD46AD" w:rsidRPr="00B44852" w14:paraId="0E24CFB7" w14:textId="77777777" w:rsidTr="006951BF">
        <w:trPr>
          <w:trHeight w:val="481"/>
        </w:trPr>
        <w:tc>
          <w:tcPr>
            <w:tcW w:w="1544" w:type="pct"/>
          </w:tcPr>
          <w:p w14:paraId="5FA3C48C" w14:textId="6E2AE1B5" w:rsidR="00FD46AD" w:rsidRPr="00E42A5B" w:rsidRDefault="17021632" w:rsidP="17021632">
            <w:pPr>
              <w:pStyle w:val="anslagstabell"/>
              <w:rPr>
                <w:b/>
                <w:bCs/>
              </w:rPr>
            </w:pPr>
            <w:r w:rsidRPr="17021632">
              <w:rPr>
                <w:b/>
                <w:bCs/>
              </w:rPr>
              <w:t>Ny prognos utgifter under utgiftstaket</w:t>
            </w:r>
          </w:p>
        </w:tc>
        <w:tc>
          <w:tcPr>
            <w:tcW w:w="691" w:type="pct"/>
          </w:tcPr>
          <w:p w14:paraId="28B82A58" w14:textId="605A5025" w:rsidR="00FD46AD" w:rsidRPr="006951BF" w:rsidRDefault="00684C9F" w:rsidP="00FD46AD">
            <w:pPr>
              <w:pStyle w:val="anslagstabell-hgerstlld"/>
              <w:rPr>
                <w:b/>
                <w:sz w:val="16"/>
                <w:szCs w:val="16"/>
              </w:rPr>
            </w:pPr>
            <w:r>
              <w:rPr>
                <w:b/>
                <w:sz w:val="16"/>
                <w:szCs w:val="16"/>
              </w:rPr>
              <w:t>317 626 700</w:t>
            </w:r>
          </w:p>
        </w:tc>
        <w:tc>
          <w:tcPr>
            <w:tcW w:w="691" w:type="pct"/>
          </w:tcPr>
          <w:p w14:paraId="3C3D32A2" w14:textId="717C0B69" w:rsidR="00FD46AD" w:rsidRPr="006951BF" w:rsidRDefault="00684C9F" w:rsidP="00FD46AD">
            <w:pPr>
              <w:pStyle w:val="anslagstabell-hgerstlld"/>
              <w:rPr>
                <w:b/>
                <w:sz w:val="16"/>
                <w:szCs w:val="16"/>
              </w:rPr>
            </w:pPr>
            <w:r>
              <w:rPr>
                <w:b/>
                <w:sz w:val="16"/>
                <w:szCs w:val="16"/>
              </w:rPr>
              <w:t>329 602 000</w:t>
            </w:r>
          </w:p>
        </w:tc>
        <w:tc>
          <w:tcPr>
            <w:tcW w:w="692" w:type="pct"/>
          </w:tcPr>
          <w:p w14:paraId="12CC4154" w14:textId="4C24C3DE" w:rsidR="00FD46AD" w:rsidRPr="006951BF" w:rsidRDefault="00684C9F" w:rsidP="00FD46AD">
            <w:pPr>
              <w:pStyle w:val="anslagstabell-hgerstlld"/>
              <w:rPr>
                <w:b/>
                <w:sz w:val="16"/>
                <w:szCs w:val="16"/>
              </w:rPr>
            </w:pPr>
            <w:r>
              <w:rPr>
                <w:b/>
                <w:sz w:val="16"/>
                <w:szCs w:val="16"/>
              </w:rPr>
              <w:t>335 92</w:t>
            </w:r>
            <w:r w:rsidR="008468E6">
              <w:rPr>
                <w:b/>
                <w:sz w:val="16"/>
                <w:szCs w:val="16"/>
              </w:rPr>
              <w:t>6</w:t>
            </w:r>
            <w:r>
              <w:rPr>
                <w:b/>
                <w:sz w:val="16"/>
                <w:szCs w:val="16"/>
              </w:rPr>
              <w:t xml:space="preserve"> 000</w:t>
            </w:r>
          </w:p>
        </w:tc>
        <w:tc>
          <w:tcPr>
            <w:tcW w:w="691" w:type="pct"/>
          </w:tcPr>
          <w:p w14:paraId="40F2EA23" w14:textId="7AFBFD46" w:rsidR="00FD46AD" w:rsidRPr="006951BF" w:rsidRDefault="00684C9F" w:rsidP="00FD46AD">
            <w:pPr>
              <w:pStyle w:val="anslagstabell-hgerstlld"/>
              <w:rPr>
                <w:b/>
                <w:sz w:val="16"/>
                <w:szCs w:val="16"/>
              </w:rPr>
            </w:pPr>
            <w:r>
              <w:rPr>
                <w:b/>
                <w:sz w:val="16"/>
                <w:szCs w:val="16"/>
              </w:rPr>
              <w:t>345 14</w:t>
            </w:r>
            <w:r w:rsidR="00664885">
              <w:rPr>
                <w:b/>
                <w:sz w:val="16"/>
                <w:szCs w:val="16"/>
              </w:rPr>
              <w:t>5</w:t>
            </w:r>
            <w:r>
              <w:rPr>
                <w:b/>
                <w:sz w:val="16"/>
                <w:szCs w:val="16"/>
              </w:rPr>
              <w:t xml:space="preserve"> 000</w:t>
            </w:r>
          </w:p>
        </w:tc>
        <w:tc>
          <w:tcPr>
            <w:tcW w:w="692" w:type="pct"/>
          </w:tcPr>
          <w:p w14:paraId="420D2A84" w14:textId="237ED5C8" w:rsidR="00FD46AD" w:rsidRPr="006951BF" w:rsidRDefault="00684C9F" w:rsidP="00FD46AD">
            <w:pPr>
              <w:pStyle w:val="anslagstabell-hgerstlld"/>
              <w:rPr>
                <w:b/>
                <w:sz w:val="16"/>
                <w:szCs w:val="16"/>
              </w:rPr>
            </w:pPr>
            <w:r>
              <w:rPr>
                <w:b/>
                <w:sz w:val="16"/>
                <w:szCs w:val="16"/>
              </w:rPr>
              <w:t>355 2</w:t>
            </w:r>
            <w:r w:rsidR="00FF1D30">
              <w:rPr>
                <w:b/>
                <w:sz w:val="16"/>
                <w:szCs w:val="16"/>
              </w:rPr>
              <w:t>45</w:t>
            </w:r>
            <w:r>
              <w:rPr>
                <w:b/>
                <w:sz w:val="16"/>
                <w:szCs w:val="16"/>
              </w:rPr>
              <w:t xml:space="preserve"> 000</w:t>
            </w:r>
          </w:p>
        </w:tc>
      </w:tr>
      <w:tr w:rsidR="00FD46AD" w:rsidRPr="00B44852" w14:paraId="395F3A69" w14:textId="77777777" w:rsidTr="006951BF">
        <w:trPr>
          <w:trHeight w:val="481"/>
        </w:trPr>
        <w:tc>
          <w:tcPr>
            <w:tcW w:w="1544" w:type="pct"/>
          </w:tcPr>
          <w:p w14:paraId="35415714" w14:textId="7DEAC0FB" w:rsidR="00FD46AD" w:rsidRPr="00B44852" w:rsidRDefault="17021632" w:rsidP="00FD46AD">
            <w:pPr>
              <w:pStyle w:val="anslagstabell"/>
            </w:pPr>
            <w:r>
              <w:t>Förändrad prognos för premiepensioner</w:t>
            </w:r>
          </w:p>
        </w:tc>
        <w:tc>
          <w:tcPr>
            <w:tcW w:w="691" w:type="pct"/>
          </w:tcPr>
          <w:p w14:paraId="26B66B91" w14:textId="3E77CCDF" w:rsidR="00FD46AD" w:rsidRPr="006951BF" w:rsidRDefault="00684C9F" w:rsidP="00FD46AD">
            <w:pPr>
              <w:pStyle w:val="anslagstabell-hgerstlld"/>
              <w:rPr>
                <w:sz w:val="16"/>
                <w:szCs w:val="16"/>
              </w:rPr>
            </w:pPr>
            <w:r>
              <w:rPr>
                <w:sz w:val="16"/>
                <w:szCs w:val="16"/>
              </w:rPr>
              <w:t>-5 100</w:t>
            </w:r>
          </w:p>
        </w:tc>
        <w:tc>
          <w:tcPr>
            <w:tcW w:w="691" w:type="pct"/>
          </w:tcPr>
          <w:p w14:paraId="3F495039" w14:textId="5DD9175D" w:rsidR="00FD46AD" w:rsidRPr="006951BF" w:rsidRDefault="00684C9F" w:rsidP="00FD46AD">
            <w:pPr>
              <w:pStyle w:val="anslagstabell-hgerstlld"/>
              <w:rPr>
                <w:sz w:val="16"/>
                <w:szCs w:val="16"/>
              </w:rPr>
            </w:pPr>
            <w:r>
              <w:rPr>
                <w:sz w:val="16"/>
                <w:szCs w:val="16"/>
              </w:rPr>
              <w:t>+3</w:t>
            </w:r>
            <w:r w:rsidR="007258B0">
              <w:rPr>
                <w:sz w:val="16"/>
                <w:szCs w:val="16"/>
              </w:rPr>
              <w:t>78</w:t>
            </w:r>
            <w:r>
              <w:rPr>
                <w:sz w:val="16"/>
                <w:szCs w:val="16"/>
              </w:rPr>
              <w:t xml:space="preserve"> 000</w:t>
            </w:r>
          </w:p>
        </w:tc>
        <w:tc>
          <w:tcPr>
            <w:tcW w:w="692" w:type="pct"/>
          </w:tcPr>
          <w:p w14:paraId="7A977D89" w14:textId="6782CB5A" w:rsidR="00FD46AD" w:rsidRPr="006951BF" w:rsidRDefault="00684C9F" w:rsidP="00FD46AD">
            <w:pPr>
              <w:pStyle w:val="anslagstabell-hgerstlld"/>
              <w:rPr>
                <w:sz w:val="16"/>
                <w:szCs w:val="16"/>
              </w:rPr>
            </w:pPr>
            <w:r>
              <w:rPr>
                <w:sz w:val="16"/>
                <w:szCs w:val="16"/>
              </w:rPr>
              <w:t>+7</w:t>
            </w:r>
            <w:r w:rsidR="007258B0">
              <w:rPr>
                <w:sz w:val="16"/>
                <w:szCs w:val="16"/>
              </w:rPr>
              <w:t>26</w:t>
            </w:r>
            <w:r>
              <w:rPr>
                <w:sz w:val="16"/>
                <w:szCs w:val="16"/>
              </w:rPr>
              <w:t xml:space="preserve"> 000</w:t>
            </w:r>
          </w:p>
        </w:tc>
        <w:tc>
          <w:tcPr>
            <w:tcW w:w="691" w:type="pct"/>
          </w:tcPr>
          <w:p w14:paraId="20B7E104" w14:textId="35983763" w:rsidR="00FD46AD" w:rsidRPr="006951BF" w:rsidRDefault="00684C9F" w:rsidP="00FD46AD">
            <w:pPr>
              <w:pStyle w:val="anslagstabell-hgerstlld"/>
              <w:rPr>
                <w:sz w:val="16"/>
                <w:szCs w:val="16"/>
              </w:rPr>
            </w:pPr>
            <w:r>
              <w:rPr>
                <w:sz w:val="16"/>
                <w:szCs w:val="16"/>
              </w:rPr>
              <w:t>+1 1</w:t>
            </w:r>
            <w:r w:rsidR="007258B0">
              <w:rPr>
                <w:sz w:val="16"/>
                <w:szCs w:val="16"/>
              </w:rPr>
              <w:t>02</w:t>
            </w:r>
            <w:r>
              <w:rPr>
                <w:sz w:val="16"/>
                <w:szCs w:val="16"/>
              </w:rPr>
              <w:t xml:space="preserve"> 000</w:t>
            </w:r>
          </w:p>
        </w:tc>
        <w:tc>
          <w:tcPr>
            <w:tcW w:w="692" w:type="pct"/>
          </w:tcPr>
          <w:p w14:paraId="49400DD3" w14:textId="6AAD2396" w:rsidR="00FD46AD" w:rsidRPr="006951BF" w:rsidRDefault="00684C9F" w:rsidP="00FD46AD">
            <w:pPr>
              <w:pStyle w:val="anslagstabell-hgerstlld"/>
              <w:rPr>
                <w:sz w:val="16"/>
                <w:szCs w:val="16"/>
              </w:rPr>
            </w:pPr>
            <w:r>
              <w:rPr>
                <w:sz w:val="16"/>
                <w:szCs w:val="16"/>
              </w:rPr>
              <w:t>+1 </w:t>
            </w:r>
            <w:r w:rsidR="007258B0">
              <w:rPr>
                <w:sz w:val="16"/>
                <w:szCs w:val="16"/>
              </w:rPr>
              <w:t>524</w:t>
            </w:r>
            <w:r>
              <w:rPr>
                <w:sz w:val="16"/>
                <w:szCs w:val="16"/>
              </w:rPr>
              <w:t xml:space="preserve"> 000</w:t>
            </w:r>
          </w:p>
        </w:tc>
      </w:tr>
      <w:tr w:rsidR="00FD46AD" w:rsidRPr="008244FA" w14:paraId="404E8097" w14:textId="77777777" w:rsidTr="006951BF">
        <w:trPr>
          <w:trHeight w:val="275"/>
        </w:trPr>
        <w:tc>
          <w:tcPr>
            <w:tcW w:w="1544" w:type="pct"/>
            <w:tcBorders>
              <w:bottom w:val="single" w:sz="4" w:space="0" w:color="auto"/>
            </w:tcBorders>
          </w:tcPr>
          <w:p w14:paraId="1550910F" w14:textId="19FC167A" w:rsidR="00FD46AD" w:rsidRPr="008244FA" w:rsidRDefault="17021632" w:rsidP="17021632">
            <w:pPr>
              <w:pStyle w:val="anslagstabell"/>
              <w:rPr>
                <w:b/>
                <w:bCs/>
              </w:rPr>
            </w:pPr>
            <w:r w:rsidRPr="17021632">
              <w:rPr>
                <w:b/>
                <w:bCs/>
              </w:rPr>
              <w:t xml:space="preserve">Ny prognos </w:t>
            </w:r>
          </w:p>
        </w:tc>
        <w:tc>
          <w:tcPr>
            <w:tcW w:w="691" w:type="pct"/>
            <w:tcBorders>
              <w:bottom w:val="single" w:sz="4" w:space="0" w:color="auto"/>
            </w:tcBorders>
          </w:tcPr>
          <w:p w14:paraId="4ED9A7CB" w14:textId="37B56BFD" w:rsidR="00FD46AD" w:rsidRPr="006951BF" w:rsidRDefault="00684C9F" w:rsidP="00FD46AD">
            <w:pPr>
              <w:pStyle w:val="anslagstabell-hgerstlld"/>
              <w:rPr>
                <w:b/>
                <w:sz w:val="16"/>
                <w:szCs w:val="16"/>
              </w:rPr>
            </w:pPr>
            <w:r>
              <w:rPr>
                <w:b/>
                <w:sz w:val="16"/>
                <w:szCs w:val="16"/>
              </w:rPr>
              <w:t>329 341 600</w:t>
            </w:r>
          </w:p>
        </w:tc>
        <w:tc>
          <w:tcPr>
            <w:tcW w:w="691" w:type="pct"/>
            <w:tcBorders>
              <w:bottom w:val="single" w:sz="4" w:space="0" w:color="auto"/>
            </w:tcBorders>
          </w:tcPr>
          <w:p w14:paraId="0F06EB32" w14:textId="6A9FFC82" w:rsidR="00FD46AD" w:rsidRPr="006951BF" w:rsidRDefault="00684C9F" w:rsidP="00FD46AD">
            <w:pPr>
              <w:pStyle w:val="anslagstabell-hgerstlld"/>
              <w:rPr>
                <w:b/>
                <w:sz w:val="16"/>
                <w:szCs w:val="16"/>
              </w:rPr>
            </w:pPr>
            <w:r>
              <w:rPr>
                <w:b/>
                <w:sz w:val="16"/>
                <w:szCs w:val="16"/>
              </w:rPr>
              <w:t>344 8</w:t>
            </w:r>
            <w:r w:rsidR="00BE71A8">
              <w:rPr>
                <w:b/>
                <w:sz w:val="16"/>
                <w:szCs w:val="16"/>
              </w:rPr>
              <w:t>05</w:t>
            </w:r>
            <w:r>
              <w:rPr>
                <w:b/>
                <w:sz w:val="16"/>
                <w:szCs w:val="16"/>
              </w:rPr>
              <w:t xml:space="preserve"> 000</w:t>
            </w:r>
          </w:p>
        </w:tc>
        <w:tc>
          <w:tcPr>
            <w:tcW w:w="692" w:type="pct"/>
            <w:tcBorders>
              <w:bottom w:val="single" w:sz="4" w:space="0" w:color="auto"/>
            </w:tcBorders>
          </w:tcPr>
          <w:p w14:paraId="1779857A" w14:textId="7D519223" w:rsidR="00FD46AD" w:rsidRPr="006951BF" w:rsidRDefault="00684C9F" w:rsidP="00FD46AD">
            <w:pPr>
              <w:pStyle w:val="anslagstabell-hgerstlld"/>
              <w:rPr>
                <w:b/>
                <w:sz w:val="16"/>
                <w:szCs w:val="16"/>
              </w:rPr>
            </w:pPr>
            <w:r>
              <w:rPr>
                <w:b/>
                <w:sz w:val="16"/>
                <w:szCs w:val="16"/>
              </w:rPr>
              <w:t>353 </w:t>
            </w:r>
            <w:r w:rsidR="00A8461B">
              <w:rPr>
                <w:b/>
                <w:sz w:val="16"/>
                <w:szCs w:val="16"/>
              </w:rPr>
              <w:t>770</w:t>
            </w:r>
            <w:r>
              <w:rPr>
                <w:b/>
                <w:sz w:val="16"/>
                <w:szCs w:val="16"/>
              </w:rPr>
              <w:t xml:space="preserve"> 000</w:t>
            </w:r>
          </w:p>
        </w:tc>
        <w:tc>
          <w:tcPr>
            <w:tcW w:w="691" w:type="pct"/>
            <w:tcBorders>
              <w:bottom w:val="single" w:sz="4" w:space="0" w:color="auto"/>
            </w:tcBorders>
          </w:tcPr>
          <w:p w14:paraId="2C026885" w14:textId="138798D4" w:rsidR="00FD46AD" w:rsidRPr="006951BF" w:rsidRDefault="00684C9F" w:rsidP="00FD46AD">
            <w:pPr>
              <w:pStyle w:val="anslagstabell-hgerstlld"/>
              <w:rPr>
                <w:b/>
                <w:sz w:val="16"/>
                <w:szCs w:val="16"/>
              </w:rPr>
            </w:pPr>
            <w:r>
              <w:rPr>
                <w:b/>
                <w:sz w:val="16"/>
                <w:szCs w:val="16"/>
              </w:rPr>
              <w:t>36</w:t>
            </w:r>
            <w:r w:rsidR="00A8461B">
              <w:rPr>
                <w:b/>
                <w:sz w:val="16"/>
                <w:szCs w:val="16"/>
              </w:rPr>
              <w:t>5</w:t>
            </w:r>
            <w:r>
              <w:rPr>
                <w:b/>
                <w:sz w:val="16"/>
                <w:szCs w:val="16"/>
              </w:rPr>
              <w:t> </w:t>
            </w:r>
            <w:r w:rsidR="00A8461B">
              <w:rPr>
                <w:b/>
                <w:sz w:val="16"/>
                <w:szCs w:val="16"/>
              </w:rPr>
              <w:t>971</w:t>
            </w:r>
            <w:r>
              <w:rPr>
                <w:b/>
                <w:sz w:val="16"/>
                <w:szCs w:val="16"/>
              </w:rPr>
              <w:t xml:space="preserve"> 000</w:t>
            </w:r>
          </w:p>
        </w:tc>
        <w:tc>
          <w:tcPr>
            <w:tcW w:w="692" w:type="pct"/>
            <w:tcBorders>
              <w:bottom w:val="single" w:sz="4" w:space="0" w:color="auto"/>
            </w:tcBorders>
          </w:tcPr>
          <w:p w14:paraId="73708FEE" w14:textId="73D711C0" w:rsidR="00FD46AD" w:rsidRPr="006951BF" w:rsidRDefault="00684C9F" w:rsidP="00FD46AD">
            <w:pPr>
              <w:pStyle w:val="anslagstabell-hgerstlld"/>
              <w:rPr>
                <w:b/>
                <w:sz w:val="16"/>
                <w:szCs w:val="16"/>
              </w:rPr>
            </w:pPr>
            <w:r>
              <w:rPr>
                <w:b/>
                <w:sz w:val="16"/>
                <w:szCs w:val="16"/>
              </w:rPr>
              <w:t>379 </w:t>
            </w:r>
            <w:r w:rsidR="007258B0">
              <w:rPr>
                <w:b/>
                <w:sz w:val="16"/>
                <w:szCs w:val="16"/>
              </w:rPr>
              <w:t>320</w:t>
            </w:r>
            <w:r>
              <w:rPr>
                <w:b/>
                <w:sz w:val="16"/>
                <w:szCs w:val="16"/>
              </w:rPr>
              <w:t xml:space="preserve"> 000</w:t>
            </w:r>
          </w:p>
        </w:tc>
      </w:tr>
      <w:tr w:rsidR="00FD46AD" w:rsidRPr="008244FA" w14:paraId="295D3C58" w14:textId="77777777" w:rsidTr="006951BF">
        <w:trPr>
          <w:trHeight w:val="275"/>
        </w:trPr>
        <w:tc>
          <w:tcPr>
            <w:tcW w:w="1544" w:type="pct"/>
            <w:tcBorders>
              <w:top w:val="single" w:sz="4" w:space="0" w:color="auto"/>
              <w:bottom w:val="single" w:sz="4" w:space="0" w:color="auto"/>
            </w:tcBorders>
          </w:tcPr>
          <w:p w14:paraId="1EA806AF" w14:textId="7F2FF98E" w:rsidR="00FD46AD" w:rsidRPr="008244FA" w:rsidRDefault="00FD46AD" w:rsidP="00FD46AD">
            <w:pPr>
              <w:pStyle w:val="anslagstabell"/>
              <w:rPr>
                <w:b/>
              </w:rPr>
            </w:pPr>
          </w:p>
        </w:tc>
        <w:tc>
          <w:tcPr>
            <w:tcW w:w="691" w:type="pct"/>
            <w:tcBorders>
              <w:top w:val="single" w:sz="4" w:space="0" w:color="auto"/>
              <w:bottom w:val="single" w:sz="4" w:space="0" w:color="auto"/>
            </w:tcBorders>
          </w:tcPr>
          <w:p w14:paraId="2F153BA5" w14:textId="77777777" w:rsidR="00FD46AD" w:rsidRPr="006951BF" w:rsidRDefault="00FD46AD" w:rsidP="00FD46AD">
            <w:pPr>
              <w:pStyle w:val="anslagstabell"/>
              <w:jc w:val="right"/>
              <w:rPr>
                <w:b/>
                <w:color w:val="C00000"/>
                <w:sz w:val="16"/>
                <w:szCs w:val="16"/>
              </w:rPr>
            </w:pPr>
          </w:p>
        </w:tc>
        <w:tc>
          <w:tcPr>
            <w:tcW w:w="691" w:type="pct"/>
            <w:tcBorders>
              <w:top w:val="single" w:sz="4" w:space="0" w:color="auto"/>
              <w:bottom w:val="single" w:sz="4" w:space="0" w:color="auto"/>
            </w:tcBorders>
          </w:tcPr>
          <w:p w14:paraId="5C9DFB23" w14:textId="77777777" w:rsidR="00FD46AD" w:rsidRPr="006951BF" w:rsidRDefault="00FD46AD" w:rsidP="00FD46AD">
            <w:pPr>
              <w:pStyle w:val="anslagstabell"/>
              <w:jc w:val="right"/>
              <w:rPr>
                <w:b/>
                <w:color w:val="C00000"/>
                <w:sz w:val="16"/>
                <w:szCs w:val="16"/>
              </w:rPr>
            </w:pPr>
          </w:p>
        </w:tc>
        <w:tc>
          <w:tcPr>
            <w:tcW w:w="692" w:type="pct"/>
            <w:tcBorders>
              <w:top w:val="single" w:sz="4" w:space="0" w:color="auto"/>
              <w:bottom w:val="single" w:sz="4" w:space="0" w:color="auto"/>
            </w:tcBorders>
          </w:tcPr>
          <w:p w14:paraId="33B85185" w14:textId="77777777" w:rsidR="00FD46AD" w:rsidRPr="006951BF" w:rsidRDefault="00FD46AD" w:rsidP="00FD46AD">
            <w:pPr>
              <w:pStyle w:val="anslagstabell"/>
              <w:jc w:val="right"/>
              <w:rPr>
                <w:b/>
                <w:color w:val="C00000"/>
                <w:sz w:val="16"/>
                <w:szCs w:val="16"/>
              </w:rPr>
            </w:pPr>
          </w:p>
        </w:tc>
        <w:tc>
          <w:tcPr>
            <w:tcW w:w="691" w:type="pct"/>
            <w:tcBorders>
              <w:top w:val="single" w:sz="4" w:space="0" w:color="auto"/>
              <w:bottom w:val="single" w:sz="4" w:space="0" w:color="auto"/>
            </w:tcBorders>
          </w:tcPr>
          <w:p w14:paraId="411C330F" w14:textId="77777777" w:rsidR="00FD46AD" w:rsidRPr="006951BF" w:rsidRDefault="00FD46AD" w:rsidP="00FD46AD">
            <w:pPr>
              <w:pStyle w:val="anslagstabell"/>
              <w:jc w:val="right"/>
              <w:rPr>
                <w:b/>
                <w:color w:val="C00000"/>
                <w:sz w:val="16"/>
                <w:szCs w:val="16"/>
              </w:rPr>
            </w:pPr>
          </w:p>
        </w:tc>
        <w:tc>
          <w:tcPr>
            <w:tcW w:w="692" w:type="pct"/>
            <w:tcBorders>
              <w:top w:val="single" w:sz="4" w:space="0" w:color="auto"/>
              <w:bottom w:val="single" w:sz="4" w:space="0" w:color="auto"/>
            </w:tcBorders>
          </w:tcPr>
          <w:p w14:paraId="71DF94D2" w14:textId="32298DC1" w:rsidR="00FD46AD" w:rsidRPr="006951BF" w:rsidRDefault="00FD46AD" w:rsidP="00FD46AD">
            <w:pPr>
              <w:pStyle w:val="anslagstabell"/>
              <w:jc w:val="right"/>
              <w:rPr>
                <w:b/>
                <w:color w:val="C00000"/>
                <w:sz w:val="16"/>
                <w:szCs w:val="16"/>
              </w:rPr>
            </w:pPr>
          </w:p>
        </w:tc>
      </w:tr>
      <w:tr w:rsidR="00FD46AD" w:rsidRPr="00320B63" w14:paraId="56394BEB" w14:textId="77777777" w:rsidTr="006951BF">
        <w:trPr>
          <w:trHeight w:val="275"/>
        </w:trPr>
        <w:tc>
          <w:tcPr>
            <w:tcW w:w="1544" w:type="pct"/>
            <w:tcBorders>
              <w:top w:val="single" w:sz="4" w:space="0" w:color="auto"/>
            </w:tcBorders>
          </w:tcPr>
          <w:p w14:paraId="78E0BFC7" w14:textId="7983037B" w:rsidR="00FD46AD" w:rsidRPr="00F935F7" w:rsidRDefault="17021632" w:rsidP="00FD46AD">
            <w:pPr>
              <w:pStyle w:val="anslagstabell"/>
            </w:pPr>
            <w:r>
              <w:t>Differens i 1000-tal kronor</w:t>
            </w:r>
          </w:p>
        </w:tc>
        <w:tc>
          <w:tcPr>
            <w:tcW w:w="691" w:type="pct"/>
            <w:tcBorders>
              <w:top w:val="single" w:sz="4" w:space="0" w:color="auto"/>
            </w:tcBorders>
          </w:tcPr>
          <w:p w14:paraId="612A1DE4" w14:textId="5788E056" w:rsidR="00FD46AD" w:rsidRPr="006951BF" w:rsidRDefault="00684C9F" w:rsidP="00FD46AD">
            <w:pPr>
              <w:pStyle w:val="anslagstabell-hgerstlld"/>
              <w:rPr>
                <w:sz w:val="16"/>
                <w:szCs w:val="16"/>
              </w:rPr>
            </w:pPr>
            <w:r>
              <w:rPr>
                <w:sz w:val="16"/>
                <w:szCs w:val="16"/>
              </w:rPr>
              <w:t>-54 400</w:t>
            </w:r>
          </w:p>
        </w:tc>
        <w:tc>
          <w:tcPr>
            <w:tcW w:w="691" w:type="pct"/>
            <w:tcBorders>
              <w:top w:val="single" w:sz="4" w:space="0" w:color="auto"/>
            </w:tcBorders>
          </w:tcPr>
          <w:p w14:paraId="27C9A38C" w14:textId="485E54C3" w:rsidR="00FD46AD" w:rsidRPr="006951BF" w:rsidRDefault="00684C9F" w:rsidP="00FD46AD">
            <w:pPr>
              <w:pStyle w:val="anslagstabell-hgerstlld"/>
              <w:rPr>
                <w:sz w:val="16"/>
                <w:szCs w:val="16"/>
              </w:rPr>
            </w:pPr>
            <w:r>
              <w:rPr>
                <w:sz w:val="16"/>
                <w:szCs w:val="16"/>
              </w:rPr>
              <w:t>+8</w:t>
            </w:r>
            <w:r w:rsidR="00BE71A8">
              <w:rPr>
                <w:sz w:val="16"/>
                <w:szCs w:val="16"/>
              </w:rPr>
              <w:t>19</w:t>
            </w:r>
            <w:r>
              <w:rPr>
                <w:sz w:val="16"/>
                <w:szCs w:val="16"/>
              </w:rPr>
              <w:t xml:space="preserve"> 000</w:t>
            </w:r>
          </w:p>
        </w:tc>
        <w:tc>
          <w:tcPr>
            <w:tcW w:w="692" w:type="pct"/>
            <w:tcBorders>
              <w:top w:val="single" w:sz="4" w:space="0" w:color="auto"/>
            </w:tcBorders>
          </w:tcPr>
          <w:p w14:paraId="7D940507" w14:textId="56293BCB" w:rsidR="00FD46AD" w:rsidRPr="006951BF" w:rsidRDefault="00684C9F" w:rsidP="00FD46AD">
            <w:pPr>
              <w:pStyle w:val="anslagstabell-hgerstlld"/>
              <w:rPr>
                <w:sz w:val="16"/>
                <w:szCs w:val="16"/>
              </w:rPr>
            </w:pPr>
            <w:r>
              <w:rPr>
                <w:sz w:val="16"/>
                <w:szCs w:val="16"/>
              </w:rPr>
              <w:t>+1 </w:t>
            </w:r>
            <w:r w:rsidR="00A8461B">
              <w:rPr>
                <w:sz w:val="16"/>
                <w:szCs w:val="16"/>
              </w:rPr>
              <w:t>064</w:t>
            </w:r>
            <w:r>
              <w:rPr>
                <w:sz w:val="16"/>
                <w:szCs w:val="16"/>
              </w:rPr>
              <w:t xml:space="preserve"> 000</w:t>
            </w:r>
          </w:p>
        </w:tc>
        <w:tc>
          <w:tcPr>
            <w:tcW w:w="691" w:type="pct"/>
            <w:tcBorders>
              <w:top w:val="single" w:sz="4" w:space="0" w:color="auto"/>
            </w:tcBorders>
          </w:tcPr>
          <w:p w14:paraId="3291CF36" w14:textId="354DA8C9" w:rsidR="00FD46AD" w:rsidRPr="006951BF" w:rsidRDefault="00684C9F" w:rsidP="00FD46AD">
            <w:pPr>
              <w:pStyle w:val="anslagstabell-hgerstlld"/>
              <w:rPr>
                <w:sz w:val="16"/>
                <w:szCs w:val="16"/>
              </w:rPr>
            </w:pPr>
            <w:r>
              <w:rPr>
                <w:sz w:val="16"/>
                <w:szCs w:val="16"/>
              </w:rPr>
              <w:t>+2 </w:t>
            </w:r>
            <w:r w:rsidR="00A8461B">
              <w:rPr>
                <w:sz w:val="16"/>
                <w:szCs w:val="16"/>
              </w:rPr>
              <w:t>170</w:t>
            </w:r>
            <w:r>
              <w:rPr>
                <w:sz w:val="16"/>
                <w:szCs w:val="16"/>
              </w:rPr>
              <w:t xml:space="preserve"> 000</w:t>
            </w:r>
          </w:p>
        </w:tc>
        <w:tc>
          <w:tcPr>
            <w:tcW w:w="692" w:type="pct"/>
            <w:tcBorders>
              <w:top w:val="single" w:sz="4" w:space="0" w:color="auto"/>
            </w:tcBorders>
          </w:tcPr>
          <w:p w14:paraId="1EC7133A" w14:textId="75B7D6F0" w:rsidR="00FD46AD" w:rsidRPr="006951BF" w:rsidRDefault="00684C9F" w:rsidP="00FD46AD">
            <w:pPr>
              <w:pStyle w:val="anslagstabell-hgerstlld"/>
              <w:rPr>
                <w:sz w:val="16"/>
                <w:szCs w:val="16"/>
              </w:rPr>
            </w:pPr>
            <w:r>
              <w:rPr>
                <w:sz w:val="16"/>
                <w:szCs w:val="16"/>
              </w:rPr>
              <w:t>+2 </w:t>
            </w:r>
            <w:r w:rsidR="007258B0">
              <w:rPr>
                <w:sz w:val="16"/>
                <w:szCs w:val="16"/>
              </w:rPr>
              <w:t>784</w:t>
            </w:r>
            <w:r>
              <w:rPr>
                <w:sz w:val="16"/>
                <w:szCs w:val="16"/>
              </w:rPr>
              <w:t xml:space="preserve"> 000</w:t>
            </w:r>
          </w:p>
        </w:tc>
      </w:tr>
      <w:tr w:rsidR="00FD46AD" w:rsidRPr="00320B63" w14:paraId="5183A33E" w14:textId="77777777" w:rsidTr="006951BF">
        <w:trPr>
          <w:trHeight w:val="265"/>
        </w:trPr>
        <w:tc>
          <w:tcPr>
            <w:tcW w:w="1544" w:type="pct"/>
            <w:tcBorders>
              <w:bottom w:val="single" w:sz="4" w:space="0" w:color="auto"/>
            </w:tcBorders>
          </w:tcPr>
          <w:p w14:paraId="6F226AE2" w14:textId="47C18BD1" w:rsidR="00FD46AD" w:rsidRPr="00F935F7" w:rsidRDefault="17021632" w:rsidP="00FD46AD">
            <w:pPr>
              <w:pStyle w:val="anslagstabell"/>
              <w:keepNext w:val="0"/>
            </w:pPr>
            <w:r>
              <w:t>Differens i procent</w:t>
            </w:r>
          </w:p>
        </w:tc>
        <w:tc>
          <w:tcPr>
            <w:tcW w:w="691" w:type="pct"/>
            <w:tcBorders>
              <w:bottom w:val="single" w:sz="4" w:space="0" w:color="auto"/>
            </w:tcBorders>
          </w:tcPr>
          <w:p w14:paraId="166B4B40" w14:textId="140A6E03" w:rsidR="00FD46AD" w:rsidRPr="006951BF" w:rsidRDefault="00684C9F" w:rsidP="00FD46AD">
            <w:pPr>
              <w:pStyle w:val="anslagstabell-hgerstlld"/>
              <w:rPr>
                <w:sz w:val="16"/>
                <w:szCs w:val="16"/>
              </w:rPr>
            </w:pPr>
            <w:r>
              <w:rPr>
                <w:sz w:val="16"/>
                <w:szCs w:val="16"/>
              </w:rPr>
              <w:t>-0,0</w:t>
            </w:r>
          </w:p>
        </w:tc>
        <w:tc>
          <w:tcPr>
            <w:tcW w:w="691" w:type="pct"/>
            <w:tcBorders>
              <w:bottom w:val="single" w:sz="4" w:space="0" w:color="auto"/>
            </w:tcBorders>
          </w:tcPr>
          <w:p w14:paraId="2D32A680" w14:textId="4242ECB8" w:rsidR="00FD46AD" w:rsidRPr="006951BF" w:rsidRDefault="00684C9F" w:rsidP="00FD46AD">
            <w:pPr>
              <w:pStyle w:val="anslagstabell-hgerstlld"/>
              <w:rPr>
                <w:sz w:val="16"/>
                <w:szCs w:val="16"/>
              </w:rPr>
            </w:pPr>
            <w:r>
              <w:rPr>
                <w:sz w:val="16"/>
                <w:szCs w:val="16"/>
              </w:rPr>
              <w:t>+0,2</w:t>
            </w:r>
          </w:p>
        </w:tc>
        <w:tc>
          <w:tcPr>
            <w:tcW w:w="692" w:type="pct"/>
            <w:tcBorders>
              <w:bottom w:val="single" w:sz="4" w:space="0" w:color="auto"/>
            </w:tcBorders>
          </w:tcPr>
          <w:p w14:paraId="0B2A4496" w14:textId="2BA96E10" w:rsidR="00FD46AD" w:rsidRPr="006951BF" w:rsidRDefault="00684C9F" w:rsidP="00FD46AD">
            <w:pPr>
              <w:pStyle w:val="anslagstabell-hgerstlld"/>
              <w:rPr>
                <w:sz w:val="16"/>
                <w:szCs w:val="16"/>
              </w:rPr>
            </w:pPr>
            <w:r>
              <w:rPr>
                <w:sz w:val="16"/>
                <w:szCs w:val="16"/>
              </w:rPr>
              <w:t>+0,3</w:t>
            </w:r>
          </w:p>
        </w:tc>
        <w:tc>
          <w:tcPr>
            <w:tcW w:w="691" w:type="pct"/>
            <w:tcBorders>
              <w:bottom w:val="single" w:sz="4" w:space="0" w:color="auto"/>
            </w:tcBorders>
          </w:tcPr>
          <w:p w14:paraId="6F95D7ED" w14:textId="0449EECC" w:rsidR="00FD46AD" w:rsidRPr="006951BF" w:rsidRDefault="00684C9F" w:rsidP="00FD46AD">
            <w:pPr>
              <w:pStyle w:val="anslagstabell-hgerstlld"/>
              <w:rPr>
                <w:sz w:val="16"/>
                <w:szCs w:val="16"/>
              </w:rPr>
            </w:pPr>
            <w:r>
              <w:rPr>
                <w:sz w:val="16"/>
                <w:szCs w:val="16"/>
              </w:rPr>
              <w:t>+0,6</w:t>
            </w:r>
          </w:p>
        </w:tc>
        <w:tc>
          <w:tcPr>
            <w:tcW w:w="692" w:type="pct"/>
            <w:tcBorders>
              <w:bottom w:val="single" w:sz="4" w:space="0" w:color="auto"/>
            </w:tcBorders>
          </w:tcPr>
          <w:p w14:paraId="62898A18" w14:textId="1212616D" w:rsidR="00FD46AD" w:rsidRPr="006951BF" w:rsidRDefault="00684C9F" w:rsidP="00FD46AD">
            <w:pPr>
              <w:pStyle w:val="anslagstabell-hgerstlld"/>
              <w:rPr>
                <w:sz w:val="16"/>
                <w:szCs w:val="16"/>
              </w:rPr>
            </w:pPr>
            <w:r>
              <w:rPr>
                <w:sz w:val="16"/>
                <w:szCs w:val="16"/>
              </w:rPr>
              <w:t>+0,</w:t>
            </w:r>
            <w:r w:rsidR="007258B0">
              <w:rPr>
                <w:sz w:val="16"/>
                <w:szCs w:val="16"/>
              </w:rPr>
              <w:t>7</w:t>
            </w:r>
          </w:p>
        </w:tc>
      </w:tr>
    </w:tbl>
    <w:p w14:paraId="421A6A46" w14:textId="77777777" w:rsidR="00204CD3" w:rsidRDefault="00204CD3" w:rsidP="00F54A78"/>
    <w:p w14:paraId="24FB6F56" w14:textId="40508D40" w:rsidR="00FF078D" w:rsidRDefault="00FF078D" w:rsidP="005C58EB">
      <w:pPr>
        <w:pStyle w:val="Rubrik4"/>
        <w:rPr>
          <w:szCs w:val="24"/>
        </w:rPr>
      </w:pPr>
      <w:r w:rsidRPr="6E73E8E2">
        <w:rPr>
          <w:szCs w:val="24"/>
        </w:rPr>
        <w:t>Ändrade makroekonomiska antaganden</w:t>
      </w:r>
    </w:p>
    <w:p w14:paraId="600D6C7F" w14:textId="3800AB67" w:rsidR="006B3E3B" w:rsidRDefault="006115FE" w:rsidP="00FF078D">
      <w:r>
        <w:t>Denna post avser makroekonomisk påverkan på utgifter för inkomstpension och tilläggspension. Makroekonomisk påverkan utgörs av förändringar i inkomstindex och balansindex.</w:t>
      </w:r>
      <w:r w:rsidR="006B3E3B">
        <w:t xml:space="preserve"> Förändringar i inflation och timlöneökning kan påverka utgifterna för administrationskostnader.</w:t>
      </w:r>
    </w:p>
    <w:p w14:paraId="0CBC6676" w14:textId="32B380C1" w:rsidR="00742A56" w:rsidRDefault="00742A56" w:rsidP="00FF078D"/>
    <w:p w14:paraId="28E0EB81" w14:textId="6797A814" w:rsidR="006115FE" w:rsidRPr="00FF078D" w:rsidRDefault="00742A56" w:rsidP="00FF078D">
      <w:r w:rsidRPr="17021632">
        <w:rPr>
          <w:color w:val="000000" w:themeColor="text1"/>
        </w:rPr>
        <w:t>Prognosen av inkomstindex har sänkts med cirka en promille för 2021 och höjts med 0,16 och 0,14 procent för 2022 respektive 2023.</w:t>
      </w:r>
      <w:r w:rsidR="009F48FA">
        <w:t xml:space="preserve"> </w:t>
      </w:r>
      <w:r w:rsidR="00316199">
        <w:t xml:space="preserve">Detta har sänkt respektive höjt prognosen för dessa år </w:t>
      </w:r>
      <w:r w:rsidR="00413EF8">
        <w:t>i motsvarande utsträckning.</w:t>
      </w:r>
    </w:p>
    <w:p w14:paraId="0A6BD6BA" w14:textId="7E0E60AC" w:rsidR="00204CD3" w:rsidRDefault="17021632" w:rsidP="005C58EB">
      <w:pPr>
        <w:pStyle w:val="Rubrik4"/>
      </w:pPr>
      <w:bookmarkStart w:id="13" w:name="_Hlk31652513"/>
      <w:r>
        <w:t>Volym- och strukturförändringar</w:t>
      </w:r>
    </w:p>
    <w:p w14:paraId="089F9B14" w14:textId="1ABE7E69" w:rsidR="009D2D80" w:rsidRDefault="009D2D80" w:rsidP="009D2D80">
      <w:r>
        <w:t>Denna post avser förändringar av antal pensionärer, storleken på utbetalda belopp</w:t>
      </w:r>
      <w:r w:rsidR="00B13488">
        <w:t xml:space="preserve"> och påverkan av retroaktiva utbetalningar för inkomst- och tilläggspension.</w:t>
      </w:r>
    </w:p>
    <w:p w14:paraId="19044D13" w14:textId="77777777" w:rsidR="00B13488" w:rsidRPr="009D2D80" w:rsidRDefault="00B13488" w:rsidP="009D2D80"/>
    <w:bookmarkEnd w:id="13"/>
    <w:p w14:paraId="1AB72201" w14:textId="62CB2C80" w:rsidR="00851C0A" w:rsidRDefault="00B13186" w:rsidP="00F54A78">
      <w:pPr>
        <w:rPr>
          <w:color w:val="000000" w:themeColor="text1"/>
        </w:rPr>
      </w:pPr>
      <w:r>
        <w:rPr>
          <w:color w:val="000000" w:themeColor="text1"/>
        </w:rPr>
        <w:t>Utgifterna för 2019 blev knappt 34 miljoner mindre än prognosen som lämnades i oktober.</w:t>
      </w:r>
    </w:p>
    <w:p w14:paraId="33E8E81F" w14:textId="77777777" w:rsidR="0032272B" w:rsidRDefault="0032272B" w:rsidP="0032272B"/>
    <w:p w14:paraId="27770FBB" w14:textId="38BB3495" w:rsidR="0032272B" w:rsidRPr="0032272B" w:rsidRDefault="0032272B" w:rsidP="00F54A78">
      <w:r>
        <w:t xml:space="preserve">Bytet av prognosmodell och uppdaterade antaganden medför flera ändringar för prognosen av inkomstpension och tilläggspension </w:t>
      </w:r>
      <w:r w:rsidR="00B13488">
        <w:t xml:space="preserve">se rubriken </w:t>
      </w:r>
      <w:r w:rsidR="00B13488">
        <w:rPr>
          <w:i/>
        </w:rPr>
        <w:t>Ny prognosmodell</w:t>
      </w:r>
      <w:r w:rsidR="00B13488">
        <w:t xml:space="preserve"> i kapitlet </w:t>
      </w:r>
      <w:r w:rsidR="00B13488" w:rsidRPr="00B13488">
        <w:rPr>
          <w:i/>
        </w:rPr>
        <w:t>Ålderspensionssystemet vid sidan om statens budget</w:t>
      </w:r>
      <w:r>
        <w:t>.</w:t>
      </w:r>
    </w:p>
    <w:p w14:paraId="356A1B9D" w14:textId="42B2192C" w:rsidR="007B07DA" w:rsidRDefault="007B07DA" w:rsidP="00F54A78">
      <w:pPr>
        <w:rPr>
          <w:color w:val="000000" w:themeColor="text1"/>
        </w:rPr>
      </w:pPr>
    </w:p>
    <w:p w14:paraId="457C7D3C" w14:textId="1EE7ACE7" w:rsidR="007B07DA" w:rsidRDefault="007B07DA" w:rsidP="00F54A78">
      <w:pPr>
        <w:rPr>
          <w:color w:val="000000" w:themeColor="text1"/>
        </w:rPr>
      </w:pPr>
      <w:r>
        <w:rPr>
          <w:color w:val="000000" w:themeColor="text1"/>
        </w:rPr>
        <w:t xml:space="preserve">Sammantaget </w:t>
      </w:r>
      <w:r w:rsidR="006014CC">
        <w:rPr>
          <w:color w:val="000000" w:themeColor="text1"/>
        </w:rPr>
        <w:t xml:space="preserve">sett så </w:t>
      </w:r>
      <w:r>
        <w:rPr>
          <w:color w:val="000000" w:themeColor="text1"/>
        </w:rPr>
        <w:t xml:space="preserve">ökar prognosen utgifterna över hela prognoshorisonten. Detta förklaras huvudsakligen av </w:t>
      </w:r>
      <w:r w:rsidR="006014CC">
        <w:rPr>
          <w:color w:val="000000" w:themeColor="text1"/>
        </w:rPr>
        <w:t xml:space="preserve">att prognosen antar att fler kommer att välja att </w:t>
      </w:r>
      <w:r w:rsidR="006B72EE">
        <w:rPr>
          <w:color w:val="000000" w:themeColor="text1"/>
        </w:rPr>
        <w:t xml:space="preserve">ta ut </w:t>
      </w:r>
      <w:r w:rsidR="006014CC">
        <w:rPr>
          <w:color w:val="000000" w:themeColor="text1"/>
        </w:rPr>
        <w:t xml:space="preserve">pension </w:t>
      </w:r>
      <w:r w:rsidR="006B72EE">
        <w:rPr>
          <w:color w:val="000000" w:themeColor="text1"/>
        </w:rPr>
        <w:t>före 65 år</w:t>
      </w:r>
      <w:r w:rsidR="006014CC">
        <w:rPr>
          <w:color w:val="000000" w:themeColor="text1"/>
        </w:rPr>
        <w:t>.</w:t>
      </w:r>
      <w:r w:rsidR="000B08CF">
        <w:rPr>
          <w:color w:val="000000" w:themeColor="text1"/>
        </w:rPr>
        <w:t xml:space="preserve"> </w:t>
      </w:r>
      <w:r w:rsidR="00252E36">
        <w:rPr>
          <w:color w:val="000000" w:themeColor="text1"/>
        </w:rPr>
        <w:t>Prognosen ökar lite mindre för 2021 än för</w:t>
      </w:r>
      <w:r w:rsidR="006B72EE">
        <w:rPr>
          <w:color w:val="000000" w:themeColor="text1"/>
        </w:rPr>
        <w:t xml:space="preserve"> </w:t>
      </w:r>
      <w:r w:rsidR="00852D36">
        <w:rPr>
          <w:color w:val="000000" w:themeColor="text1"/>
        </w:rPr>
        <w:t>efterföljande år</w:t>
      </w:r>
      <w:r w:rsidR="00123477">
        <w:rPr>
          <w:color w:val="000000" w:themeColor="text1"/>
        </w:rPr>
        <w:t xml:space="preserve">. </w:t>
      </w:r>
      <w:r w:rsidR="006B72EE">
        <w:t xml:space="preserve">De nya antagandena medför något minskade utgifter för tilläggspension men ökade utgifter för inkomstpension. Utgifterna ökar därför mer för </w:t>
      </w:r>
      <w:r w:rsidR="005C3C34">
        <w:t xml:space="preserve">prognoshorisontens </w:t>
      </w:r>
      <w:r w:rsidR="006B72EE">
        <w:t>senare år, beroende på infasningen av det nya pensionssystemet.</w:t>
      </w:r>
    </w:p>
    <w:p w14:paraId="414C7F1F" w14:textId="47C900B2" w:rsidR="006025E3" w:rsidRDefault="006025E3" w:rsidP="006025E3">
      <w:pPr>
        <w:pStyle w:val="Rubrik4"/>
      </w:pPr>
      <w:r>
        <w:t>Förändring av överföringar till EG</w:t>
      </w:r>
    </w:p>
    <w:p w14:paraId="22D455BE" w14:textId="64B60B45" w:rsidR="006025E3" w:rsidRPr="00F54A78" w:rsidRDefault="00BE061E" w:rsidP="00F54A78">
      <w:r>
        <w:t xml:space="preserve">Under 2019 gjordes inga överföringar till EG och därmed skiljer sig utfall mot prognosen med hela det prognosticerade beloppet. Framskrivningen av överföringar till EG har förenklats </w:t>
      </w:r>
      <w:r w:rsidR="00415AF8">
        <w:t xml:space="preserve">och antar nu </w:t>
      </w:r>
      <w:r w:rsidR="005B2B25">
        <w:t>konstant 7 miljoner i överföringar per år. Detta medför att prognosen av har sänkts med 1 miljon vardera för åren 2022 och 2023.</w:t>
      </w:r>
    </w:p>
    <w:p w14:paraId="720B04C4" w14:textId="25A900FF" w:rsidR="005C58EB" w:rsidRDefault="17021632" w:rsidP="005C58EB">
      <w:pPr>
        <w:pStyle w:val="Rubrik4"/>
      </w:pPr>
      <w:r>
        <w:t>Förändring av administrationskostnader</w:t>
      </w:r>
    </w:p>
    <w:p w14:paraId="2BC2BB0E" w14:textId="2B83A7C6" w:rsidR="005A1038" w:rsidRPr="001D6CD2" w:rsidRDefault="00673D5B" w:rsidP="00EF7FAB">
      <w:r>
        <w:t xml:space="preserve">Utgifterna för 2019 blev något lägre än vad vi tidigare prognosticerat. </w:t>
      </w:r>
      <w:r w:rsidR="00EF7FAB">
        <w:t>Baserat på utfallet för 2019 och beslutade kostnadsersättningar för 2020 så har prognosen justerats något över hela prognoshorisonten. Prognosen har höjts något för alla år utom 2021.</w:t>
      </w:r>
      <w:bookmarkEnd w:id="6"/>
    </w:p>
    <w:p w14:paraId="688ED8A2" w14:textId="1F255194" w:rsidR="00A07FD5" w:rsidRDefault="17021632" w:rsidP="00A07FD5">
      <w:pPr>
        <w:pStyle w:val="Rubrik4"/>
      </w:pPr>
      <w:r>
        <w:t>Förändrad prognos för premiepensioner</w:t>
      </w:r>
    </w:p>
    <w:p w14:paraId="220C57DE" w14:textId="585C805C" w:rsidR="00A34AAB" w:rsidRDefault="003D0551" w:rsidP="003D0551">
      <w:r>
        <w:t>Utgifterna för 2019 blev drygt 5 miljoner mindre än vad vi tidigare prognosticerat.</w:t>
      </w:r>
      <w:r w:rsidR="005246EF">
        <w:t xml:space="preserve"> Omräkningen av utbetald premiepension </w:t>
      </w:r>
      <w:r w:rsidR="006B72EE">
        <w:t xml:space="preserve">blev högre </w:t>
      </w:r>
      <w:r w:rsidR="005246EF">
        <w:t>för 2020</w:t>
      </w:r>
      <w:r w:rsidR="006B72EE">
        <w:t xml:space="preserve"> </w:t>
      </w:r>
      <w:r w:rsidR="005246EF">
        <w:t>än vad den föregående prognosen antog.</w:t>
      </w:r>
    </w:p>
    <w:p w14:paraId="6FB5225C" w14:textId="12F41491" w:rsidR="0032272B" w:rsidRDefault="0032272B" w:rsidP="003D0551"/>
    <w:p w14:paraId="70321877" w14:textId="77C49E27" w:rsidR="00C75D08" w:rsidRDefault="0032272B" w:rsidP="003D0551">
      <w:r>
        <w:lastRenderedPageBreak/>
        <w:t>Bytet av prognosmodell och uppdaterade antaganden medför flera ändringar för prognosen av premiepension (</w:t>
      </w:r>
      <w:r w:rsidR="00B13488">
        <w:t xml:space="preserve">se rubriken </w:t>
      </w:r>
      <w:r w:rsidR="00B13488">
        <w:rPr>
          <w:i/>
        </w:rPr>
        <w:t>Ny prognosmodell</w:t>
      </w:r>
      <w:r w:rsidR="00B13488">
        <w:t xml:space="preserve"> i kapitlet </w:t>
      </w:r>
      <w:r w:rsidR="00B13488" w:rsidRPr="00B13488">
        <w:rPr>
          <w:i/>
        </w:rPr>
        <w:t>Ålderspensionssystemet vid sidan om statens budget</w:t>
      </w:r>
      <w:r>
        <w:t>).</w:t>
      </w:r>
      <w:r w:rsidR="00E01265">
        <w:t xml:space="preserve"> Metoden för att beräkna avkastning inom premiepensionen har bytts ut.</w:t>
      </w:r>
      <w:r w:rsidR="00FF7CBC">
        <w:t xml:space="preserve"> </w:t>
      </w:r>
      <w:r w:rsidR="006B72EE">
        <w:t>P</w:t>
      </w:r>
      <w:r w:rsidR="00A05FE8">
        <w:t xml:space="preserve">rognosen </w:t>
      </w:r>
      <w:r w:rsidR="006B72EE">
        <w:t xml:space="preserve">antar </w:t>
      </w:r>
      <w:r w:rsidR="00A05FE8">
        <w:t xml:space="preserve">att antalet pensionärer med premiepension kommer att öka i snabbare takt än </w:t>
      </w:r>
      <w:r w:rsidR="00EB4F39">
        <w:t>i föregående prognos</w:t>
      </w:r>
      <w:r w:rsidR="00A05FE8">
        <w:t>.</w:t>
      </w:r>
      <w:r w:rsidR="00EB4F39">
        <w:t xml:space="preserve"> </w:t>
      </w:r>
      <w:r w:rsidR="006B72EE">
        <w:t xml:space="preserve">Vi antar </w:t>
      </w:r>
      <w:r w:rsidR="00EB4F39">
        <w:t>att det kommer att finnas omkring 35 000 fler pensionärer med premiepension i december 2023, jämfört med föregående prognos.</w:t>
      </w:r>
      <w:r w:rsidR="00EE62F6">
        <w:t xml:space="preserve"> </w:t>
      </w:r>
      <w:r w:rsidR="00857E49">
        <w:t xml:space="preserve">Antalet premiepensioner beräknas </w:t>
      </w:r>
      <w:r w:rsidR="006B72EE">
        <w:t>närmre följa utvecklingen för antalet inkomstpensioner</w:t>
      </w:r>
      <w:r w:rsidR="00857E49">
        <w:t>.</w:t>
      </w:r>
    </w:p>
    <w:p w14:paraId="49D43390" w14:textId="6CCAEC62" w:rsidR="005246EF" w:rsidRDefault="005246EF" w:rsidP="003D0551"/>
    <w:p w14:paraId="3FDB59F9" w14:textId="4CF435FA" w:rsidR="005246EF" w:rsidRPr="00053C3A" w:rsidRDefault="00E01265" w:rsidP="003D0551">
      <w:r>
        <w:t>Justerade antaganden om avkastning öka</w:t>
      </w:r>
      <w:r w:rsidR="002423F5">
        <w:t>r</w:t>
      </w:r>
      <w:r>
        <w:t xml:space="preserve"> utgifterna över hela prognoshorisonten. Likaså medför det uppjusterade antalet premiepensioner att utgifterna ökas.</w:t>
      </w:r>
    </w:p>
    <w:sectPr w:rsidR="005246EF" w:rsidRPr="00053C3A">
      <w:headerReference w:type="even" r:id="rId14"/>
      <w:footerReference w:type="even" r:id="rId15"/>
      <w:footerReference w:type="default" r:id="rId16"/>
      <w:headerReference w:type="first" r:id="rId17"/>
      <w:footerReference w:type="first" r:id="rId18"/>
      <w:pgSz w:w="11906" w:h="16838" w:code="9"/>
      <w:pgMar w:top="851" w:right="2268" w:bottom="1134"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C3B560" w14:textId="77777777" w:rsidR="00104820" w:rsidRDefault="00104820">
      <w:r>
        <w:separator/>
      </w:r>
    </w:p>
  </w:endnote>
  <w:endnote w:type="continuationSeparator" w:id="0">
    <w:p w14:paraId="3D676558" w14:textId="77777777" w:rsidR="00104820" w:rsidRDefault="00104820">
      <w:r>
        <w:continuationSeparator/>
      </w:r>
    </w:p>
  </w:endnote>
  <w:endnote w:type="continuationNotice" w:id="1">
    <w:p w14:paraId="34BF8B04" w14:textId="77777777" w:rsidR="00104820" w:rsidRDefault="001048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80DBC" w14:textId="77777777" w:rsidR="00740F5E" w:rsidRDefault="00740F5E">
    <w:pPr>
      <w:pStyle w:val="Sidfot"/>
      <w:ind w:right="360" w:firstLine="360"/>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C4C04" w14:textId="527A3672" w:rsidR="00740F5E" w:rsidRDefault="00740F5E">
    <w:pPr>
      <w:pStyle w:val="Sidfot"/>
      <w:ind w:right="360" w:firstLine="360"/>
    </w:pPr>
    <w:r>
      <w:rPr>
        <w:rStyle w:val="Sidnummer"/>
      </w:rPr>
      <w:fldChar w:fldCharType="begin"/>
    </w:r>
    <w:r>
      <w:rPr>
        <w:rStyle w:val="Sidnummer"/>
      </w:rPr>
      <w:instrText xml:space="preserve"> PAGE </w:instrText>
    </w:r>
    <w:r>
      <w:rPr>
        <w:rStyle w:val="Sidnummer"/>
      </w:rPr>
      <w:fldChar w:fldCharType="separate"/>
    </w:r>
    <w:r w:rsidR="00A833C3">
      <w:rPr>
        <w:rStyle w:val="Sidnummer"/>
        <w:noProof/>
      </w:rPr>
      <w:t>9</w:t>
    </w:r>
    <w:r>
      <w:rPr>
        <w:rStyle w:val="Sidnumm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2381" w:type="dxa"/>
      <w:tblBorders>
        <w:top w:val="single" w:sz="6" w:space="0" w:color="auto"/>
      </w:tblBorders>
      <w:tblLayout w:type="fixed"/>
      <w:tblCellMar>
        <w:left w:w="71" w:type="dxa"/>
        <w:right w:w="71" w:type="dxa"/>
      </w:tblCellMar>
      <w:tblLook w:val="0000" w:firstRow="0" w:lastRow="0" w:firstColumn="0" w:lastColumn="0" w:noHBand="0" w:noVBand="0"/>
    </w:tblPr>
    <w:tblGrid>
      <w:gridCol w:w="1758"/>
      <w:gridCol w:w="2381"/>
      <w:gridCol w:w="1474"/>
      <w:gridCol w:w="1474"/>
      <w:gridCol w:w="2098"/>
      <w:gridCol w:w="1191"/>
    </w:tblGrid>
    <w:tr w:rsidR="00740F5E" w14:paraId="1CB874C0" w14:textId="77777777" w:rsidTr="17021632">
      <w:tc>
        <w:tcPr>
          <w:tcW w:w="1758" w:type="dxa"/>
          <w:tcBorders>
            <w:top w:val="single" w:sz="6" w:space="0" w:color="auto"/>
          </w:tcBorders>
        </w:tcPr>
        <w:p w14:paraId="73CA1C4F" w14:textId="77777777" w:rsidR="00740F5E" w:rsidRDefault="00740F5E" w:rsidP="17021632">
          <w:pPr>
            <w:pStyle w:val="Sidfot"/>
            <w:spacing w:before="100"/>
            <w:rPr>
              <w:rFonts w:ascii="Arial" w:hAnsi="Arial"/>
              <w:b/>
              <w:bCs/>
              <w:sz w:val="14"/>
              <w:szCs w:val="14"/>
            </w:rPr>
          </w:pPr>
          <w:r w:rsidRPr="17021632">
            <w:rPr>
              <w:rFonts w:ascii="Arial" w:hAnsi="Arial"/>
              <w:b/>
              <w:bCs/>
              <w:sz w:val="14"/>
              <w:szCs w:val="14"/>
            </w:rPr>
            <w:t>Postadress</w:t>
          </w:r>
        </w:p>
      </w:tc>
      <w:tc>
        <w:tcPr>
          <w:tcW w:w="2381" w:type="dxa"/>
          <w:tcBorders>
            <w:top w:val="single" w:sz="6" w:space="0" w:color="auto"/>
          </w:tcBorders>
        </w:tcPr>
        <w:p w14:paraId="2BACFBC9" w14:textId="77777777" w:rsidR="00740F5E" w:rsidRDefault="00740F5E" w:rsidP="17021632">
          <w:pPr>
            <w:pStyle w:val="Sidfot"/>
            <w:spacing w:before="100"/>
            <w:rPr>
              <w:rFonts w:ascii="Arial" w:hAnsi="Arial"/>
              <w:b/>
              <w:bCs/>
              <w:sz w:val="14"/>
              <w:szCs w:val="14"/>
            </w:rPr>
          </w:pPr>
          <w:r w:rsidRPr="17021632">
            <w:rPr>
              <w:rFonts w:ascii="Arial" w:hAnsi="Arial"/>
              <w:b/>
              <w:bCs/>
              <w:sz w:val="14"/>
              <w:szCs w:val="14"/>
            </w:rPr>
            <w:t>Besöksadress</w:t>
          </w:r>
        </w:p>
      </w:tc>
      <w:tc>
        <w:tcPr>
          <w:tcW w:w="1474" w:type="dxa"/>
          <w:tcBorders>
            <w:top w:val="single" w:sz="6" w:space="0" w:color="auto"/>
          </w:tcBorders>
        </w:tcPr>
        <w:p w14:paraId="264415E1" w14:textId="77777777" w:rsidR="00740F5E" w:rsidRDefault="00740F5E" w:rsidP="17021632">
          <w:pPr>
            <w:pStyle w:val="Sidfot"/>
            <w:spacing w:before="100"/>
            <w:rPr>
              <w:rFonts w:ascii="Arial" w:hAnsi="Arial"/>
              <w:b/>
              <w:bCs/>
              <w:sz w:val="14"/>
              <w:szCs w:val="14"/>
            </w:rPr>
          </w:pPr>
          <w:r w:rsidRPr="17021632">
            <w:rPr>
              <w:rFonts w:ascii="Arial" w:hAnsi="Arial"/>
              <w:b/>
              <w:bCs/>
              <w:sz w:val="14"/>
              <w:szCs w:val="14"/>
            </w:rPr>
            <w:t>Telefonnummer</w:t>
          </w:r>
        </w:p>
      </w:tc>
      <w:tc>
        <w:tcPr>
          <w:tcW w:w="1474" w:type="dxa"/>
          <w:tcBorders>
            <w:top w:val="single" w:sz="6" w:space="0" w:color="auto"/>
          </w:tcBorders>
        </w:tcPr>
        <w:p w14:paraId="1D0813A2" w14:textId="77777777" w:rsidR="00740F5E" w:rsidRDefault="00740F5E" w:rsidP="17021632">
          <w:pPr>
            <w:pStyle w:val="Sidfot"/>
            <w:tabs>
              <w:tab w:val="left" w:pos="355"/>
            </w:tabs>
            <w:spacing w:before="100"/>
            <w:ind w:firstLine="4"/>
            <w:rPr>
              <w:rFonts w:ascii="Arial" w:hAnsi="Arial"/>
              <w:b/>
              <w:bCs/>
              <w:sz w:val="14"/>
              <w:szCs w:val="14"/>
            </w:rPr>
          </w:pPr>
          <w:r w:rsidRPr="17021632">
            <w:rPr>
              <w:rFonts w:ascii="Arial" w:hAnsi="Arial"/>
              <w:b/>
              <w:bCs/>
              <w:sz w:val="14"/>
              <w:szCs w:val="14"/>
            </w:rPr>
            <w:t>Telefaxnummer</w:t>
          </w:r>
        </w:p>
      </w:tc>
      <w:tc>
        <w:tcPr>
          <w:tcW w:w="2098" w:type="dxa"/>
          <w:tcBorders>
            <w:top w:val="single" w:sz="6" w:space="0" w:color="auto"/>
          </w:tcBorders>
        </w:tcPr>
        <w:p w14:paraId="59E5FED9" w14:textId="77777777" w:rsidR="00740F5E" w:rsidRDefault="00740F5E" w:rsidP="17021632">
          <w:pPr>
            <w:pStyle w:val="Sidfot"/>
            <w:spacing w:before="100"/>
            <w:rPr>
              <w:rFonts w:ascii="Arial" w:hAnsi="Arial"/>
              <w:b/>
              <w:bCs/>
              <w:sz w:val="14"/>
              <w:szCs w:val="14"/>
            </w:rPr>
          </w:pPr>
          <w:r w:rsidRPr="17021632">
            <w:rPr>
              <w:rFonts w:ascii="Arial" w:hAnsi="Arial"/>
              <w:b/>
              <w:bCs/>
              <w:sz w:val="14"/>
              <w:szCs w:val="14"/>
            </w:rPr>
            <w:t>E-postadress</w:t>
          </w:r>
        </w:p>
      </w:tc>
      <w:tc>
        <w:tcPr>
          <w:tcW w:w="1191" w:type="dxa"/>
          <w:tcBorders>
            <w:top w:val="single" w:sz="6" w:space="0" w:color="auto"/>
          </w:tcBorders>
        </w:tcPr>
        <w:p w14:paraId="676EB23B" w14:textId="77777777" w:rsidR="00740F5E" w:rsidRDefault="00740F5E" w:rsidP="17021632">
          <w:pPr>
            <w:pStyle w:val="Sidfot"/>
            <w:spacing w:before="100"/>
            <w:rPr>
              <w:rFonts w:ascii="Arial" w:hAnsi="Arial"/>
              <w:b/>
              <w:bCs/>
              <w:sz w:val="14"/>
              <w:szCs w:val="14"/>
            </w:rPr>
          </w:pPr>
          <w:r w:rsidRPr="17021632">
            <w:rPr>
              <w:rFonts w:ascii="Arial" w:hAnsi="Arial"/>
              <w:b/>
              <w:bCs/>
              <w:sz w:val="14"/>
              <w:szCs w:val="14"/>
            </w:rPr>
            <w:t>Hemsida</w:t>
          </w:r>
        </w:p>
      </w:tc>
    </w:tr>
    <w:tr w:rsidR="00740F5E" w14:paraId="29ACC560" w14:textId="77777777" w:rsidTr="17021632">
      <w:tc>
        <w:tcPr>
          <w:tcW w:w="1758" w:type="dxa"/>
        </w:tcPr>
        <w:p w14:paraId="6B63B221" w14:textId="77777777" w:rsidR="00740F5E" w:rsidRDefault="00740F5E">
          <w:pPr>
            <w:pStyle w:val="Sidfot"/>
            <w:spacing w:before="40"/>
            <w:rPr>
              <w:rFonts w:ascii="Arial" w:hAnsi="Arial"/>
              <w:sz w:val="16"/>
            </w:rPr>
          </w:pPr>
        </w:p>
      </w:tc>
      <w:tc>
        <w:tcPr>
          <w:tcW w:w="2381" w:type="dxa"/>
        </w:tcPr>
        <w:p w14:paraId="6AB587A8" w14:textId="77777777" w:rsidR="00740F5E" w:rsidRDefault="00740F5E">
          <w:pPr>
            <w:pStyle w:val="Sidfot"/>
            <w:spacing w:before="40"/>
            <w:rPr>
              <w:rFonts w:ascii="Arial" w:hAnsi="Arial"/>
              <w:sz w:val="16"/>
            </w:rPr>
          </w:pPr>
        </w:p>
      </w:tc>
      <w:tc>
        <w:tcPr>
          <w:tcW w:w="1474" w:type="dxa"/>
        </w:tcPr>
        <w:p w14:paraId="512238FB" w14:textId="77777777" w:rsidR="00740F5E" w:rsidRDefault="00740F5E">
          <w:pPr>
            <w:pStyle w:val="Sidfot"/>
            <w:spacing w:before="40"/>
            <w:rPr>
              <w:rFonts w:ascii="Arial" w:hAnsi="Arial"/>
              <w:sz w:val="16"/>
            </w:rPr>
          </w:pPr>
        </w:p>
      </w:tc>
      <w:tc>
        <w:tcPr>
          <w:tcW w:w="1474" w:type="dxa"/>
        </w:tcPr>
        <w:p w14:paraId="28F0E62D" w14:textId="77777777" w:rsidR="00740F5E" w:rsidRDefault="00740F5E">
          <w:pPr>
            <w:pStyle w:val="Sidfot"/>
            <w:tabs>
              <w:tab w:val="left" w:pos="355"/>
            </w:tabs>
            <w:spacing w:before="40"/>
            <w:ind w:firstLine="4"/>
            <w:rPr>
              <w:rFonts w:ascii="Arial" w:hAnsi="Arial"/>
              <w:sz w:val="16"/>
            </w:rPr>
          </w:pPr>
        </w:p>
      </w:tc>
      <w:tc>
        <w:tcPr>
          <w:tcW w:w="2098" w:type="dxa"/>
        </w:tcPr>
        <w:p w14:paraId="3CBB22E4" w14:textId="77777777" w:rsidR="00740F5E" w:rsidRDefault="00740F5E">
          <w:pPr>
            <w:pStyle w:val="Sidfot"/>
            <w:tabs>
              <w:tab w:val="left" w:pos="355"/>
            </w:tabs>
            <w:spacing w:before="40"/>
            <w:ind w:firstLine="4"/>
            <w:rPr>
              <w:rFonts w:ascii="Arial" w:hAnsi="Arial"/>
              <w:sz w:val="16"/>
            </w:rPr>
          </w:pPr>
        </w:p>
      </w:tc>
      <w:tc>
        <w:tcPr>
          <w:tcW w:w="1191" w:type="dxa"/>
        </w:tcPr>
        <w:p w14:paraId="723656CC" w14:textId="77777777" w:rsidR="00740F5E" w:rsidRDefault="00740F5E" w:rsidP="17021632">
          <w:pPr>
            <w:pStyle w:val="Sidfot"/>
            <w:tabs>
              <w:tab w:val="left" w:pos="355"/>
            </w:tabs>
            <w:spacing w:before="40"/>
            <w:ind w:firstLine="4"/>
            <w:rPr>
              <w:rFonts w:ascii="Arial" w:hAnsi="Arial"/>
              <w:sz w:val="16"/>
              <w:szCs w:val="16"/>
            </w:rPr>
          </w:pPr>
          <w:r w:rsidRPr="17021632">
            <w:rPr>
              <w:rFonts w:ascii="Arial" w:hAnsi="Arial"/>
              <w:sz w:val="16"/>
              <w:szCs w:val="16"/>
            </w:rPr>
            <w:t>www.rfv.se</w:t>
          </w:r>
        </w:p>
      </w:tc>
    </w:tr>
  </w:tbl>
  <w:p w14:paraId="641CB1B0" w14:textId="77777777" w:rsidR="00740F5E" w:rsidRDefault="00740F5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B2F43D" w14:textId="77777777" w:rsidR="00104820" w:rsidRDefault="00104820">
      <w:r>
        <w:separator/>
      </w:r>
    </w:p>
  </w:footnote>
  <w:footnote w:type="continuationSeparator" w:id="0">
    <w:p w14:paraId="61F4133E" w14:textId="77777777" w:rsidR="00104820" w:rsidRDefault="00104820">
      <w:r>
        <w:continuationSeparator/>
      </w:r>
    </w:p>
  </w:footnote>
  <w:footnote w:type="continuationNotice" w:id="1">
    <w:p w14:paraId="0818878F" w14:textId="77777777" w:rsidR="00104820" w:rsidRDefault="0010482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134" w:type="dxa"/>
      <w:tblLayout w:type="fixed"/>
      <w:tblCellMar>
        <w:left w:w="28" w:type="dxa"/>
        <w:right w:w="28" w:type="dxa"/>
      </w:tblCellMar>
      <w:tblLook w:val="0000" w:firstRow="0" w:lastRow="0" w:firstColumn="0" w:lastColumn="0" w:noHBand="0" w:noVBand="0"/>
    </w:tblPr>
    <w:tblGrid>
      <w:gridCol w:w="5216"/>
      <w:gridCol w:w="2608"/>
      <w:gridCol w:w="1431"/>
      <w:gridCol w:w="979"/>
    </w:tblGrid>
    <w:tr w:rsidR="00740F5E" w14:paraId="76807CF2" w14:textId="77777777">
      <w:trPr>
        <w:cantSplit/>
        <w:trHeight w:hRule="exact" w:val="440"/>
      </w:trPr>
      <w:tc>
        <w:tcPr>
          <w:tcW w:w="5216" w:type="dxa"/>
        </w:tcPr>
        <w:p w14:paraId="79D4BD7B" w14:textId="77777777" w:rsidR="00740F5E" w:rsidRDefault="00740F5E">
          <w:pPr>
            <w:pStyle w:val="Sidhuvud"/>
          </w:pPr>
          <w:r>
            <w:drawing>
              <wp:inline distT="0" distB="0" distL="0" distR="0" wp14:anchorId="1BCC0C58" wp14:editId="7E023E18">
                <wp:extent cx="2165350" cy="273050"/>
                <wp:effectExtent l="0" t="0" r="0" b="0"/>
                <wp:docPr id="2" name="Bild 2" descr="LNG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NG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273050"/>
                        </a:xfrm>
                        <a:prstGeom prst="rect">
                          <a:avLst/>
                        </a:prstGeom>
                        <a:noFill/>
                        <a:ln>
                          <a:noFill/>
                        </a:ln>
                      </pic:spPr>
                    </pic:pic>
                  </a:graphicData>
                </a:graphic>
              </wp:inline>
            </w:drawing>
          </w:r>
        </w:p>
      </w:tc>
      <w:tc>
        <w:tcPr>
          <w:tcW w:w="4039" w:type="dxa"/>
          <w:gridSpan w:val="2"/>
        </w:tcPr>
        <w:p w14:paraId="71760A3F" w14:textId="77777777" w:rsidR="00740F5E" w:rsidRDefault="00740F5E">
          <w:pPr>
            <w:pStyle w:val="Sidhuvud"/>
            <w:spacing w:before="20"/>
            <w:rPr>
              <w:b/>
              <w:caps/>
              <w:sz w:val="23"/>
            </w:rPr>
          </w:pPr>
          <w:r>
            <w:rPr>
              <w:b/>
              <w:caps/>
              <w:sz w:val="23"/>
            </w:rPr>
            <w:fldChar w:fldCharType="begin"/>
          </w:r>
          <w:r>
            <w:rPr>
              <w:b/>
              <w:caps/>
              <w:sz w:val="23"/>
            </w:rPr>
            <w:instrText xml:space="preserve"> MACROBUTTON NoMacro</w:instrText>
          </w:r>
          <w:r>
            <w:rPr>
              <w:b/>
              <w:caps/>
              <w:color w:val="FFFFFF"/>
              <w:sz w:val="23"/>
            </w:rPr>
            <w:instrText xml:space="preserve"> Dokumenttyp</w:instrText>
          </w:r>
          <w:r>
            <w:rPr>
              <w:b/>
              <w:caps/>
              <w:sz w:val="23"/>
            </w:rPr>
            <w:instrText xml:space="preserve">    </w:instrText>
          </w:r>
          <w:r>
            <w:rPr>
              <w:b/>
              <w:caps/>
              <w:sz w:val="23"/>
            </w:rPr>
            <w:fldChar w:fldCharType="end"/>
          </w:r>
        </w:p>
      </w:tc>
      <w:tc>
        <w:tcPr>
          <w:tcW w:w="979" w:type="dxa"/>
        </w:tcPr>
        <w:p w14:paraId="587408BF" w14:textId="77777777" w:rsidR="00740F5E" w:rsidRDefault="00740F5E">
          <w:pPr>
            <w:pStyle w:val="Sidhuvud"/>
            <w:jc w:val="right"/>
          </w:pPr>
        </w:p>
      </w:tc>
    </w:tr>
    <w:tr w:rsidR="00740F5E" w14:paraId="4EF94B94" w14:textId="77777777">
      <w:trPr>
        <w:cantSplit/>
        <w:trHeight w:hRule="exact" w:val="240"/>
      </w:trPr>
      <w:tc>
        <w:tcPr>
          <w:tcW w:w="5216" w:type="dxa"/>
        </w:tcPr>
        <w:p w14:paraId="3A464FE4" w14:textId="77777777" w:rsidR="00740F5E" w:rsidRDefault="00740F5E">
          <w:pPr>
            <w:pStyle w:val="Sidhuvud"/>
            <w:spacing w:line="220" w:lineRule="exact"/>
            <w:rPr>
              <w:sz w:val="16"/>
            </w:rPr>
          </w:pPr>
          <w:r>
            <w:rPr>
              <w:sz w:val="16"/>
            </w:rPr>
            <w:fldChar w:fldCharType="begin"/>
          </w:r>
          <w:r>
            <w:rPr>
              <w:sz w:val="16"/>
            </w:rPr>
            <w:instrText xml:space="preserve"> MACROBUTTON NoMacro</w:instrText>
          </w:r>
          <w:r>
            <w:rPr>
              <w:color w:val="FFFFFF"/>
              <w:sz w:val="16"/>
            </w:rPr>
            <w:instrText xml:space="preserve"> Enhet</w:instrText>
          </w:r>
          <w:r>
            <w:rPr>
              <w:sz w:val="16"/>
            </w:rPr>
            <w:instrText xml:space="preserve">    </w:instrText>
          </w:r>
          <w:r>
            <w:rPr>
              <w:sz w:val="16"/>
            </w:rPr>
            <w:fldChar w:fldCharType="end"/>
          </w:r>
        </w:p>
      </w:tc>
      <w:tc>
        <w:tcPr>
          <w:tcW w:w="2608" w:type="dxa"/>
        </w:tcPr>
        <w:p w14:paraId="3673C0F6" w14:textId="77777777" w:rsidR="00740F5E" w:rsidRDefault="00740F5E">
          <w:pPr>
            <w:pStyle w:val="Sidhuvud"/>
            <w:spacing w:line="220" w:lineRule="exact"/>
            <w:rPr>
              <w:b/>
              <w:sz w:val="16"/>
            </w:rPr>
          </w:pPr>
          <w:r>
            <w:rPr>
              <w:b/>
              <w:sz w:val="16"/>
            </w:rPr>
            <w:t>Datum</w:t>
          </w:r>
        </w:p>
      </w:tc>
      <w:tc>
        <w:tcPr>
          <w:tcW w:w="2410" w:type="dxa"/>
          <w:gridSpan w:val="2"/>
        </w:tcPr>
        <w:p w14:paraId="11BE5CC2" w14:textId="77777777" w:rsidR="00740F5E" w:rsidRDefault="00740F5E">
          <w:pPr>
            <w:pStyle w:val="Sidhuvud"/>
            <w:spacing w:line="220" w:lineRule="exact"/>
            <w:rPr>
              <w:b/>
              <w:sz w:val="16"/>
            </w:rPr>
          </w:pPr>
          <w:r>
            <w:rPr>
              <w:b/>
              <w:sz w:val="16"/>
            </w:rPr>
            <w:t>Vår beteckning</w:t>
          </w:r>
        </w:p>
      </w:tc>
    </w:tr>
    <w:tr w:rsidR="00740F5E" w14:paraId="503EFB19" w14:textId="77777777">
      <w:trPr>
        <w:cantSplit/>
        <w:trHeight w:hRule="exact" w:val="240"/>
      </w:trPr>
      <w:tc>
        <w:tcPr>
          <w:tcW w:w="5216" w:type="dxa"/>
        </w:tcPr>
        <w:p w14:paraId="4CD54315" w14:textId="77777777" w:rsidR="00740F5E" w:rsidRDefault="00740F5E">
          <w:pPr>
            <w:pStyle w:val="Sidhuvud"/>
            <w:spacing w:line="220" w:lineRule="exact"/>
            <w:rPr>
              <w:sz w:val="16"/>
            </w:rPr>
          </w:pPr>
          <w:r>
            <w:rPr>
              <w:sz w:val="16"/>
            </w:rPr>
            <w:fldChar w:fldCharType="begin"/>
          </w:r>
          <w:r>
            <w:rPr>
              <w:sz w:val="16"/>
            </w:rPr>
            <w:instrText xml:space="preserve"> MACROBUTTON NoMacro</w:instrText>
          </w:r>
          <w:r>
            <w:rPr>
              <w:color w:val="FFFFFF"/>
              <w:sz w:val="16"/>
            </w:rPr>
            <w:instrText xml:space="preserve"> Namn</w:instrText>
          </w:r>
          <w:r>
            <w:rPr>
              <w:sz w:val="16"/>
            </w:rPr>
            <w:instrText xml:space="preserve">    </w:instrText>
          </w:r>
          <w:r>
            <w:rPr>
              <w:sz w:val="16"/>
            </w:rPr>
            <w:fldChar w:fldCharType="end"/>
          </w:r>
        </w:p>
      </w:tc>
      <w:tc>
        <w:tcPr>
          <w:tcW w:w="2608" w:type="dxa"/>
        </w:tcPr>
        <w:p w14:paraId="2C7B600F" w14:textId="77777777" w:rsidR="00740F5E" w:rsidRDefault="00740F5E">
          <w:pPr>
            <w:pStyle w:val="Sidhuvud"/>
            <w:spacing w:line="220" w:lineRule="exact"/>
          </w:pPr>
        </w:p>
      </w:tc>
      <w:tc>
        <w:tcPr>
          <w:tcW w:w="2410" w:type="dxa"/>
          <w:gridSpan w:val="2"/>
        </w:tcPr>
        <w:p w14:paraId="1420FAB7" w14:textId="77777777" w:rsidR="00740F5E" w:rsidRDefault="00740F5E">
          <w:pPr>
            <w:pStyle w:val="Sidhuvud"/>
            <w:spacing w:line="220" w:lineRule="exact"/>
          </w:pPr>
          <w:r>
            <w:fldChar w:fldCharType="begin"/>
          </w:r>
          <w:r>
            <w:instrText xml:space="preserve"> MACROBUTTON NoMacro</w:instrText>
          </w:r>
          <w:r>
            <w:rPr>
              <w:color w:val="FFFFFF"/>
            </w:rPr>
            <w:instrText xml:space="preserve"> Diareinummer</w:instrText>
          </w:r>
          <w:r>
            <w:instrText xml:space="preserve">    </w:instrText>
          </w:r>
          <w:r>
            <w:fldChar w:fldCharType="end"/>
          </w:r>
        </w:p>
      </w:tc>
    </w:tr>
  </w:tbl>
  <w:p w14:paraId="1B33C5E7" w14:textId="77777777" w:rsidR="00740F5E" w:rsidRDefault="00740F5E">
    <w:pPr>
      <w:pStyle w:val="Sidhuvud"/>
    </w:pPr>
  </w:p>
  <w:p w14:paraId="2C3BDDE6" w14:textId="77777777" w:rsidR="00740F5E" w:rsidRDefault="00740F5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2381" w:type="dxa"/>
      <w:tblLayout w:type="fixed"/>
      <w:tblCellMar>
        <w:left w:w="28" w:type="dxa"/>
        <w:right w:w="28" w:type="dxa"/>
      </w:tblCellMar>
      <w:tblLook w:val="0000" w:firstRow="0" w:lastRow="0" w:firstColumn="0" w:lastColumn="0" w:noHBand="0" w:noVBand="0"/>
    </w:tblPr>
    <w:tblGrid>
      <w:gridCol w:w="5216"/>
      <w:gridCol w:w="4181"/>
      <w:gridCol w:w="851"/>
    </w:tblGrid>
    <w:tr w:rsidR="00740F5E" w14:paraId="715AEB77" w14:textId="77777777">
      <w:trPr>
        <w:cantSplit/>
        <w:trHeight w:hRule="exact" w:val="440"/>
      </w:trPr>
      <w:tc>
        <w:tcPr>
          <w:tcW w:w="5216" w:type="dxa"/>
        </w:tcPr>
        <w:p w14:paraId="673A2AD7" w14:textId="77777777" w:rsidR="00740F5E" w:rsidRDefault="00740F5E">
          <w:pPr>
            <w:pStyle w:val="Sidhuvud"/>
          </w:pPr>
          <w:r>
            <w:drawing>
              <wp:inline distT="0" distB="0" distL="0" distR="0" wp14:anchorId="37150C6A" wp14:editId="3D8A155A">
                <wp:extent cx="2203450" cy="279400"/>
                <wp:effectExtent l="0" t="0" r="0" b="0"/>
                <wp:docPr id="3" name="Bild 3" descr="LNGFRG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NGFRG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3450" cy="279400"/>
                        </a:xfrm>
                        <a:prstGeom prst="rect">
                          <a:avLst/>
                        </a:prstGeom>
                        <a:noFill/>
                        <a:ln>
                          <a:noFill/>
                        </a:ln>
                      </pic:spPr>
                    </pic:pic>
                  </a:graphicData>
                </a:graphic>
              </wp:inline>
            </w:drawing>
          </w:r>
        </w:p>
      </w:tc>
      <w:tc>
        <w:tcPr>
          <w:tcW w:w="4181" w:type="dxa"/>
        </w:tcPr>
        <w:p w14:paraId="3D8A634E" w14:textId="77777777" w:rsidR="00740F5E" w:rsidRDefault="00740F5E">
          <w:pPr>
            <w:pStyle w:val="Sidhuvud"/>
            <w:spacing w:before="20"/>
            <w:rPr>
              <w:b/>
              <w:caps/>
              <w:sz w:val="23"/>
            </w:rPr>
          </w:pPr>
        </w:p>
      </w:tc>
      <w:tc>
        <w:tcPr>
          <w:tcW w:w="851" w:type="dxa"/>
        </w:tcPr>
        <w:p w14:paraId="01108214" w14:textId="77777777" w:rsidR="00740F5E" w:rsidRDefault="00740F5E">
          <w:pPr>
            <w:pStyle w:val="Sidhuvud"/>
            <w:jc w:val="right"/>
          </w:pPr>
          <w:r>
            <w:fldChar w:fldCharType="begin"/>
          </w:r>
          <w:r>
            <w:instrText xml:space="preserve"> PAGE </w:instrText>
          </w:r>
          <w:r>
            <w:fldChar w:fldCharType="separate"/>
          </w:r>
          <w:r>
            <w:t>1</w:t>
          </w:r>
          <w:r>
            <w:fldChar w:fldCharType="end"/>
          </w:r>
          <w:r>
            <w:t xml:space="preserve"> (</w:t>
          </w:r>
          <w:r>
            <w:fldChar w:fldCharType="begin"/>
          </w:r>
          <w:r>
            <w:instrText xml:space="preserve"> NUMPAGES </w:instrText>
          </w:r>
          <w:r>
            <w:fldChar w:fldCharType="separate"/>
          </w:r>
          <w:r>
            <w:t>5</w:t>
          </w:r>
          <w:r>
            <w:fldChar w:fldCharType="end"/>
          </w:r>
          <w:r>
            <w:t>)</w:t>
          </w:r>
        </w:p>
      </w:tc>
    </w:tr>
  </w:tbl>
  <w:p w14:paraId="480828E5" w14:textId="77777777" w:rsidR="00740F5E" w:rsidRDefault="00740F5E">
    <w:pPr>
      <w:rPr>
        <w:sz w:val="2"/>
      </w:rPr>
    </w:pPr>
  </w:p>
  <w:tbl>
    <w:tblPr>
      <w:tblW w:w="0" w:type="auto"/>
      <w:tblInd w:w="-2381" w:type="dxa"/>
      <w:tblLayout w:type="fixed"/>
      <w:tblCellMar>
        <w:left w:w="28" w:type="dxa"/>
        <w:right w:w="28" w:type="dxa"/>
      </w:tblCellMar>
      <w:tblLook w:val="0000" w:firstRow="0" w:lastRow="0" w:firstColumn="0" w:lastColumn="0" w:noHBand="0" w:noVBand="0"/>
    </w:tblPr>
    <w:tblGrid>
      <w:gridCol w:w="5216"/>
      <w:gridCol w:w="2608"/>
      <w:gridCol w:w="2424"/>
    </w:tblGrid>
    <w:tr w:rsidR="00740F5E" w14:paraId="6BF886A9" w14:textId="77777777">
      <w:trPr>
        <w:cantSplit/>
        <w:trHeight w:hRule="exact" w:val="240"/>
      </w:trPr>
      <w:tc>
        <w:tcPr>
          <w:tcW w:w="5216" w:type="dxa"/>
        </w:tcPr>
        <w:p w14:paraId="7C15B786" w14:textId="77777777" w:rsidR="00740F5E" w:rsidRDefault="00740F5E">
          <w:pPr>
            <w:pStyle w:val="Sidhuvud"/>
            <w:spacing w:line="220" w:lineRule="exact"/>
            <w:rPr>
              <w:sz w:val="16"/>
            </w:rPr>
          </w:pPr>
        </w:p>
      </w:tc>
      <w:tc>
        <w:tcPr>
          <w:tcW w:w="2608" w:type="dxa"/>
        </w:tcPr>
        <w:p w14:paraId="682E83D1" w14:textId="77777777" w:rsidR="00740F5E" w:rsidRDefault="00740F5E">
          <w:pPr>
            <w:pStyle w:val="Sidhuvud"/>
            <w:spacing w:line="220" w:lineRule="exact"/>
            <w:rPr>
              <w:b/>
              <w:sz w:val="16"/>
            </w:rPr>
          </w:pPr>
          <w:r>
            <w:rPr>
              <w:b/>
              <w:sz w:val="16"/>
            </w:rPr>
            <w:t>Datum</w:t>
          </w:r>
        </w:p>
      </w:tc>
      <w:tc>
        <w:tcPr>
          <w:tcW w:w="2424" w:type="dxa"/>
        </w:tcPr>
        <w:p w14:paraId="5B83D7BE" w14:textId="77777777" w:rsidR="00740F5E" w:rsidRDefault="00740F5E">
          <w:pPr>
            <w:pStyle w:val="Sidhuvud"/>
            <w:spacing w:line="220" w:lineRule="exact"/>
            <w:rPr>
              <w:b/>
              <w:sz w:val="16"/>
            </w:rPr>
          </w:pPr>
          <w:r>
            <w:rPr>
              <w:b/>
              <w:sz w:val="16"/>
            </w:rPr>
            <w:t>Vår beteckning</w:t>
          </w:r>
        </w:p>
      </w:tc>
    </w:tr>
  </w:tbl>
  <w:p w14:paraId="3852FE27" w14:textId="77777777" w:rsidR="00740F5E" w:rsidRDefault="00740F5E">
    <w:pPr>
      <w:rPr>
        <w:sz w:val="2"/>
      </w:rPr>
    </w:pPr>
  </w:p>
  <w:tbl>
    <w:tblPr>
      <w:tblW w:w="0" w:type="auto"/>
      <w:tblInd w:w="-2381" w:type="dxa"/>
      <w:tblLayout w:type="fixed"/>
      <w:tblCellMar>
        <w:left w:w="28" w:type="dxa"/>
        <w:right w:w="28" w:type="dxa"/>
      </w:tblCellMar>
      <w:tblLook w:val="0000" w:firstRow="0" w:lastRow="0" w:firstColumn="0" w:lastColumn="0" w:noHBand="0" w:noVBand="0"/>
    </w:tblPr>
    <w:tblGrid>
      <w:gridCol w:w="5216"/>
      <w:gridCol w:w="2608"/>
      <w:gridCol w:w="454"/>
      <w:gridCol w:w="1956"/>
    </w:tblGrid>
    <w:tr w:rsidR="00740F5E" w14:paraId="6A9F9D52" w14:textId="77777777">
      <w:trPr>
        <w:cantSplit/>
        <w:trHeight w:hRule="exact" w:val="240"/>
      </w:trPr>
      <w:tc>
        <w:tcPr>
          <w:tcW w:w="5216" w:type="dxa"/>
        </w:tcPr>
        <w:p w14:paraId="62ECE247" w14:textId="77777777" w:rsidR="00740F5E" w:rsidRDefault="00740F5E">
          <w:pPr>
            <w:pStyle w:val="Sidhuvud"/>
            <w:spacing w:line="220" w:lineRule="exact"/>
            <w:rPr>
              <w:sz w:val="16"/>
            </w:rPr>
          </w:pPr>
          <w:r>
            <w:rPr>
              <w:sz w:val="16"/>
            </w:rPr>
            <w:t xml:space="preserve"> </w:t>
          </w:r>
        </w:p>
      </w:tc>
      <w:tc>
        <w:tcPr>
          <w:tcW w:w="2608" w:type="dxa"/>
        </w:tcPr>
        <w:p w14:paraId="34B19BE7" w14:textId="77777777" w:rsidR="00740F5E" w:rsidRDefault="00740F5E">
          <w:pPr>
            <w:pStyle w:val="Sidhuvud"/>
            <w:spacing w:line="220" w:lineRule="exact"/>
          </w:pPr>
        </w:p>
      </w:tc>
      <w:tc>
        <w:tcPr>
          <w:tcW w:w="454" w:type="dxa"/>
        </w:tcPr>
        <w:p w14:paraId="1CB6CC28" w14:textId="77777777" w:rsidR="00740F5E" w:rsidRDefault="00740F5E">
          <w:pPr>
            <w:pStyle w:val="Sidhuvud"/>
            <w:spacing w:line="220" w:lineRule="exact"/>
          </w:pPr>
          <w:r>
            <w:t xml:space="preserve">Dnr </w:t>
          </w:r>
        </w:p>
      </w:tc>
      <w:tc>
        <w:tcPr>
          <w:tcW w:w="1956" w:type="dxa"/>
        </w:tcPr>
        <w:p w14:paraId="2BC2C8D7" w14:textId="77777777" w:rsidR="00740F5E" w:rsidRDefault="00740F5E">
          <w:pPr>
            <w:pStyle w:val="Sidhuvud"/>
            <w:spacing w:line="220" w:lineRule="exact"/>
          </w:pPr>
        </w:p>
      </w:tc>
    </w:tr>
  </w:tbl>
  <w:p w14:paraId="08633BFE" w14:textId="77777777" w:rsidR="00740F5E" w:rsidRDefault="00740F5E">
    <w:pPr>
      <w:rPr>
        <w:sz w:val="2"/>
      </w:rPr>
    </w:pPr>
  </w:p>
  <w:p w14:paraId="620133A6" w14:textId="77777777" w:rsidR="00740F5E" w:rsidRDefault="00740F5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E7A7364"/>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EB220F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FA6C85C"/>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D2407DFE"/>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04489534"/>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C886C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1E9A28"/>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7E93DC"/>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7ECCF0"/>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668CA0DC"/>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7EF70D8"/>
    <w:multiLevelType w:val="hybridMultilevel"/>
    <w:tmpl w:val="C44ABD24"/>
    <w:lvl w:ilvl="0" w:tplc="D56AF80E">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DE6CCA"/>
    <w:multiLevelType w:val="hybridMultilevel"/>
    <w:tmpl w:val="79EA6378"/>
    <w:lvl w:ilvl="0" w:tplc="B51EDD90">
      <w:start w:val="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04"/>
  <w:consecutiveHyphenLimit w:val="3"/>
  <w:hyphenationZone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ContentDefinition_410558914" w:val="&lt;ContentDefinition name=&quot;Sammanställning prognoser&quot; rsid=&quot;410558914&quot; type=&quot;StoredProcess&quot; format=&quot;RTF&quot; imgfmt=&quot;ACTXIMG&quot; created=&quot;10/27/2009 09:54:37&quot; modifed=&quot;10/27/2009 11:28:52&quot; user=&quot;Ulla Östman Krantz&quot; apply=&quot;False&quot; thread=&quot;BACKGROUND&quot; css=&quot;SASweb&quot; range=&quot;Sammanställning_prognoser_2&quot; auto=&quot;False&quot; rdc=&quot;False&quot; mig=&quot;False&quot; xTime=&quot;00:00:14.8438450&quot; rTime=&quot;00:00:00.8125052&quot; bgnew=&quot;False&quot; nFmt=&quot;False&quot; grphSet=&quot;False&quot; imgY=&quot;0&quot; imgX=&quot;0&quot;&gt;_x000d__x000a_  &lt;files&gt;\\ads.sfa.se\data\hemkataloger2\g41hemkataloger\41000303\Mina dokument\My SAS Files\Add-In for Microsoft Office\_SOA_Sammanställning_prognoser_26\Sammanställning_prognoser.rtf&lt;/files&gt;_x000d__x000a_  &lt;param n=&quot;DisplayName&quot; v=&quot;Sammanställning prognoser&quot; /&gt;_x000d__x000a_  &lt;param n=&quot;ServerName&quot; v=&quot;SASMain&quot; /&gt;_x000d__x000a_  &lt;param n=&quot;ResultsOnServer&quot; v=&quot;False&quot; /&gt;_x000d__x000a_  &lt;param n=&quot;AMO_Version&quot; v=&quot;2.1&quot; /&gt;_x000d__x000a_  &lt;param n=&quot;UIParameter_0&quot; v=&quot;prognosperiod::200910&quot; /&gt;_x000d__x000a_  &lt;param n=&quot;UIParameter_1&quot; v=&quot;prognosversion::VL&quot; /&gt;_x000d__x000a_  &lt;param n=&quot;UIParameter_2&quot; v=&quot;skriv_ingaende_data::NEJ&quot; /&gt;_x000d__x000a_  &lt;param n=&quot;UIParameters&quot; v=&quot;3&quot; /&gt;_x000d__x000a_  &lt;param n=&quot;StoredProcessID&quot; v=&quot;A5H9PEQK.B7000IL0&quot; /&gt;_x000d__x000a_  &lt;param n=&quot;StoredProcessPath&quot; v=&quot;BIP Tree/ISP/System/Sammanställning prognoser&quot; /&gt;_x000d__x000a_  &lt;param n=&quot;RepositoryName&quot; v=&quot;Foundation&quot; /&gt;_x000d__x000a_  &lt;param n=&quot;ClassName&quot; v=&quot;SAS.OfficeAddin.StoredProcess&quot; /&gt;_x000d__x000a_  &lt;ExcelXMLOptions AdjColWidths=&quot;True&quot; RowOpt=&quot;InsertEntire&quot; ColOpt=&quot;InsertCells&quot; /&gt;_x000d__x000a_&lt;/ContentDefinition&gt;"/>
    <w:docVar w:name="_AMO_ContentDefinition_590097956" w:val="&lt;ContentDefinition name=&quot;Jämförelseanalys hela prognosperioden&quot; rsid=&quot;590097956&quot; type=&quot;StoredProcess&quot; format=&quot;RTF&quot; imgfmt=&quot;ACTXIMG&quot; created=&quot;10/27/2009 09:56:04&quot; modifed=&quot;10/27/2009 10:23:31&quot; user=&quot;Ulla Östman Krantz&quot; apply=&quot;False&quot; thread=&quot;BACKGROUND&quot; css=&quot;SASweb&quot; range=&quot;Jämförelseanalys_hela_prognosperioden_4&quot; auto=&quot;False&quot; rdc=&quot;False&quot; mig=&quot;False&quot; xTime=&quot;00:00:13.4219609&quot; rTime=&quot;00:00:00.8437554&quot; bgnew=&quot;False&quot; nFmt=&quot;False&quot; grphSet=&quot;False&quot; imgY=&quot;0&quot; imgX=&quot;0&quot;&gt;_x000d__x000a_  &lt;files&gt;\\ads.sfa.se\data\hemkataloger2\g41hemkataloger\41000303\Mina dokument\My SAS Files\Add-In for Microsoft Office\_SOA_Jämförelseanalys_hela_prognosperioden_68\Jämförelseanalys_hela_prognosperioden.rtf&lt;/files&gt;_x000d__x000a_  &lt;param n=&quot;DisplayName&quot; v=&quot;Jämförelseanalys hela prognosperioden&quot; /&gt;_x000d__x000a_  &lt;param n=&quot;ServerName&quot; v=&quot;SASMain&quot; /&gt;_x000d__x000a_  &lt;param n=&quot;ResultsOnServer&quot; v=&quot;False&quot; /&gt;_x000d__x000a_  &lt;param n=&quot;AMO_Version&quot; v=&quot;2.1&quot; /&gt;_x000d__x000a_  &lt;param n=&quot;UIParameter_0&quot; v=&quot;prognosperiod::200910&quot; /&gt;_x000d__x000a_  &lt;param n=&quot;UIParameter_1&quot; v=&quot;prognosversion::VL&quot; /&gt;_x000d__x000a_  &lt;param n=&quot;UIParameter_2&quot; v=&quot;inkludera_sap::JA&quot; /&gt;_x000d__x000a_  &lt;param n=&quot;UIParameter_3&quot; v=&quot;skriv_ingaende_data::NEJ&quot; /&gt;_x000d__x000a_  &lt;param n=&quot;UIParameter_4&quot; v=&quot;visa_detajer::NEJ&quot; /&gt;_x000d__x000a_  &lt;param n=&quot;UIParameters&quot; v=&quot;5&quot; /&gt;_x000d__x000a_  &lt;param n=&quot;StoredProcessID&quot; v=&quot;A5H9PEQK.B7000H1A&quot; /&gt;_x000d__x000a_  &lt;param n=&quot;StoredProcessPath&quot; v=&quot;BIP Tree/ISP/System/Jämförelseanalys hela prognosperioden&quot; /&gt;_x000d__x000a_  &lt;param n=&quot;RepositoryName&quot; v=&quot;Foundation&quot; /&gt;_x000d__x000a_  &lt;param n=&quot;ClassName&quot; v=&quot;SAS.OfficeAddin.StoredProcess&quot; /&gt;_x000d__x000a_  &lt;ExcelXMLOptions AdjColWidths=&quot;True&quot; RowOpt=&quot;InsertEntire&quot; ColOpt=&quot;InsertCells&quot; /&gt;_x000d__x000a_&lt;/ContentDefinition&gt;"/>
    <w:docVar w:name="_AMO_ContentDefinition_993266846" w:val="&lt;ContentDefinition name=&quot;Jämförelseanalys hela prognosperioden&quot; rsid=&quot;993266846&quot; type=&quot;StoredProcess&quot; format=&quot;RTF&quot; imgfmt=&quot;ACTXIMG&quot; created=&quot;10/27/2009 09:58:32&quot; modifed=&quot;10/27/2009 09:58:32&quot; user=&quot;Ulla Östman Krantz&quot; apply=&quot;False&quot; thread=&quot;BACKGROUND&quot; css=&quot;SASweb&quot; range=&quot;Jämförelseanalys_hela_prognosperioden_5&quot; auto=&quot;False&quot; rdc=&quot;False&quot; mig=&quot;False&quot; xTime=&quot;00:00:15.1719721&quot; rTime=&quot;00:00:01.0000064&quot; bgnew=&quot;False&quot; nFmt=&quot;False&quot; grphSet=&quot;False&quot; imgY=&quot;0&quot; imgX=&quot;0&quot;&gt;_x000d__x000a_  &lt;files&gt;\\ads.sfa.se\data\hemkataloger2\g41hemkataloger\41000303\Mina dokument\My SAS Files\Add-In for Microsoft Office\_SOA_Jämförelseanalys_hela_prognosperioden_66\Jämförelseanalys_hela_prognosperioden.rtf&lt;/files&gt;_x000d__x000a_  &lt;param n=&quot;DisplayName&quot; v=&quot;Jämförelseanalys hela prognosperioden&quot; /&gt;_x000d__x000a_  &lt;param n=&quot;ServerName&quot; v=&quot;SASMain&quot; /&gt;_x000d__x000a_  &lt;param n=&quot;ResultsOnServer&quot; v=&quot;False&quot; /&gt;_x000d__x000a_  &lt;param n=&quot;AMO_Version&quot; v=&quot;2.1&quot; /&gt;_x000d__x000a_  &lt;param n=&quot;UIParameter_0&quot; v=&quot;prognosperiod::200910&quot; /&gt;_x000d__x000a_  &lt;param n=&quot;UIParameter_1&quot; v=&quot;prognosversion::VL&quot; /&gt;_x000d__x000a_  &lt;param n=&quot;UIParameter_2&quot; v=&quot;inkludera_sap::NEJ&quot; /&gt;_x000d__x000a_  &lt;param n=&quot;UIParameter_3&quot; v=&quot;skriv_ingaende_data::NEJ&quot; /&gt;_x000d__x000a_  &lt;param n=&quot;UIParameter_4&quot; v=&quot;visa_detajer::NEJ&quot; /&gt;_x000d__x000a_  &lt;param n=&quot;UIParameters&quot; v=&quot;5&quot; /&gt;_x000d__x000a_  &lt;param n=&quot;StoredProcessID&quot; v=&quot;A5H9PEQK.B7000H1A&quot; /&gt;_x000d__x000a_  &lt;param n=&quot;StoredProcessPath&quot; v=&quot;BIP Tree/ISP/System/Jämförelseanalys hela prognosperioden&quot; /&gt;_x000d__x000a_  &lt;param n=&quot;RepositoryName&quot; v=&quot;Foundation&quot; /&gt;_x000d__x000a_  &lt;param n=&quot;ClassName&quot; v=&quot;SAS.OfficeAddin.StoredProcess&quot; /&gt;_x000d__x000a_&lt;/ContentDefinition&gt;"/>
    <w:docVar w:name="_AMO_ContentLocation_410558914_HtmlRtfResults_HtmlRtfResults" w:val="&lt;ContentLocation path=&quot;HtmlRtfResults&quot; rsid=&quot;410558914&quot; tag=&quot;HtmlRtfResults&quot; fid=&quot;0&quot; /&gt;"/>
    <w:docVar w:name="_AMO_ContentLocation_590097956_HtmlRtfResults_HtmlRtfResults" w:val="&lt;ContentLocation path=&quot;HtmlRtfResults&quot; rsid=&quot;590097956&quot; tag=&quot;HtmlRtfResults&quot; fid=&quot;0&quot; /&gt;"/>
    <w:docVar w:name="_AMO_ContentLocation_993266846_HtmlRtfResults_HtmlRtfResults" w:val="&lt;ContentLocation path=&quot;HtmlRtfResults&quot; rsid=&quot;993266846&quot; tag=&quot;HtmlRtfResults&quot; fid=&quot;0&quot; /&gt;"/>
    <w:docVar w:name="_AMO_SingleObject_132394976_HtmlRtfResults_HtmlRtfResults" w:val="_AMO_324277742"/>
    <w:docVar w:name="_AMO_SingleObject_242108922_HtmlRtfResults_HtmlRtfResults" w:val="_AMO_479963392"/>
    <w:docVar w:name="_AMO_SingleObject_306334817_HtmlRtfResults_HtmlRtfResults" w:val="_AMO_742355447"/>
    <w:docVar w:name="_AMO_SingleObject_410558914_HtmlRtfResults_HtmlRtfResults" w:val="_AMO_747842628"/>
    <w:docVar w:name="_AMO_SingleObject_543538783_HtmlRtfResults_HtmlRtfResults" w:val="_AMO_313487617"/>
    <w:docVar w:name="_AMO_SingleObject_584943449_HtmlRtfResults_HtmlRtfResults" w:val="_AMO_256028540"/>
    <w:docVar w:name="_AMO_SingleObject_590097956_HtmlRtfResults_HtmlRtfResults" w:val="_AMO_526786537"/>
    <w:docVar w:name="_AMO_SingleObject_619147942_HtmlRtfResults_HtmlRtfResults" w:val="_AMO_566809161"/>
    <w:docVar w:name="_AMO_SingleObject_71876890_HtmlRtfResults_HtmlRtfResults" w:val="_AMO_918031133"/>
    <w:docVar w:name="_AMO_SingleObject_728243728_HtmlRtfResults_HtmlRtfResults" w:val="_AMO_833681661"/>
    <w:docVar w:name="_AMO_SingleObject_993266846_HtmlRtfResults_HtmlRtfResults" w:val="_AMO_619278926"/>
    <w:docVar w:name="_AMO_XmlVersion" w:val="1"/>
    <w:docVar w:name="bkmAnslag" w:val="Empty"/>
    <w:docVar w:name="bkmÅlderspensionsavgift" w:val="Empty"/>
    <w:docVar w:name="IDX" w:val="Empty"/>
    <w:docVar w:name="Jämförelseanalys" w:val="Empty"/>
    <w:docVar w:name="Jämförelseanalys_2" w:val="Empty"/>
    <w:docVar w:name="Jämförelseanalys_3" w:val="Empty"/>
    <w:docVar w:name="Jämförelseanalys_4" w:val="Empty"/>
    <w:docVar w:name="Jämförelseanalys_5" w:val="Empty"/>
    <w:docVar w:name="Jämförelseanalys_6" w:val="Empty"/>
    <w:docVar w:name="Jämförelseanalys_hela_prognosperioden" w:val="Empty"/>
    <w:docVar w:name="Jämförelseanalys_hela_prognosperioden_2" w:val="Empty"/>
    <w:docVar w:name="Jämförelseanalys_hela_prognosperioden_3" w:val="Empty"/>
    <w:docVar w:name="Jämförelseanalys_hela_prognosperioden_4" w:val="Empty"/>
    <w:docVar w:name="Jämförelseanalys_hela_prognosperioden_5" w:val="Empty"/>
    <w:docVar w:name="Jämförelseanalys_hela_prognosperioden_6" w:val="Empty"/>
    <w:docVar w:name="Jämförelseanalys_hela_prognosperioden_7" w:val="Empty"/>
    <w:docVar w:name="Läs_in_prognos" w:val="Empty"/>
    <w:docVar w:name="OLE_LINK1" w:val="Empty"/>
    <w:docVar w:name="OLE_LINK2" w:val="Empty"/>
    <w:docVar w:name="Prognos_anslag" w:val="Empty"/>
    <w:docVar w:name="Prognos_anslag_2" w:val="Empty"/>
    <w:docVar w:name="Prognos_anslag_3" w:val="Empty"/>
    <w:docVar w:name="Prognos_anslag_4" w:val="Empty"/>
    <w:docVar w:name="Prognos_anslagspost" w:val="Empty"/>
    <w:docVar w:name="Prognos_anslagspost_2" w:val="Empty"/>
    <w:docVar w:name="Prognos_anslagspost_3" w:val="Empty"/>
    <w:docVar w:name="Prognos_anslagspost_4" w:val="Empty"/>
    <w:docVar w:name="Prognos_anslagspost_5" w:val="Empty"/>
    <w:docVar w:name="Prognos_anslagspost_6" w:val="Empty"/>
    <w:docVar w:name="Prognos_anslagspost_7" w:val="Empty"/>
    <w:docVar w:name="Prognos_anslagspost_9" w:val="Empty"/>
    <w:docVar w:name="Sammanställning_prognoser" w:val="Empty"/>
    <w:docVar w:name="Sammanställning_prognoser_2" w:val="Empty"/>
  </w:docVars>
  <w:rsids>
    <w:rsidRoot w:val="00E25003"/>
    <w:rsid w:val="0000320D"/>
    <w:rsid w:val="00004581"/>
    <w:rsid w:val="0001088D"/>
    <w:rsid w:val="0001241C"/>
    <w:rsid w:val="00012A3A"/>
    <w:rsid w:val="00012CCE"/>
    <w:rsid w:val="00014359"/>
    <w:rsid w:val="0002202E"/>
    <w:rsid w:val="00023017"/>
    <w:rsid w:val="00023E54"/>
    <w:rsid w:val="00027B07"/>
    <w:rsid w:val="0003140B"/>
    <w:rsid w:val="00032B82"/>
    <w:rsid w:val="00032E1A"/>
    <w:rsid w:val="00041FEF"/>
    <w:rsid w:val="000420D0"/>
    <w:rsid w:val="00047C48"/>
    <w:rsid w:val="00050157"/>
    <w:rsid w:val="00051767"/>
    <w:rsid w:val="00051AF5"/>
    <w:rsid w:val="000533D1"/>
    <w:rsid w:val="00053C3A"/>
    <w:rsid w:val="00054860"/>
    <w:rsid w:val="000559D6"/>
    <w:rsid w:val="00057C4A"/>
    <w:rsid w:val="00060BF3"/>
    <w:rsid w:val="00064CD1"/>
    <w:rsid w:val="00064FF4"/>
    <w:rsid w:val="00066838"/>
    <w:rsid w:val="00070D54"/>
    <w:rsid w:val="00072297"/>
    <w:rsid w:val="00072DCC"/>
    <w:rsid w:val="0007646F"/>
    <w:rsid w:val="00077EBD"/>
    <w:rsid w:val="000800C3"/>
    <w:rsid w:val="000801C3"/>
    <w:rsid w:val="00080E8E"/>
    <w:rsid w:val="0008207B"/>
    <w:rsid w:val="0008267C"/>
    <w:rsid w:val="000867CD"/>
    <w:rsid w:val="000877A8"/>
    <w:rsid w:val="000902E4"/>
    <w:rsid w:val="00090925"/>
    <w:rsid w:val="000920F8"/>
    <w:rsid w:val="00092502"/>
    <w:rsid w:val="00092C92"/>
    <w:rsid w:val="00092D5E"/>
    <w:rsid w:val="000973ED"/>
    <w:rsid w:val="0009746A"/>
    <w:rsid w:val="000A13C5"/>
    <w:rsid w:val="000A2496"/>
    <w:rsid w:val="000A25F2"/>
    <w:rsid w:val="000A6894"/>
    <w:rsid w:val="000B08CF"/>
    <w:rsid w:val="000B1709"/>
    <w:rsid w:val="000B2683"/>
    <w:rsid w:val="000B32BB"/>
    <w:rsid w:val="000B4246"/>
    <w:rsid w:val="000B5976"/>
    <w:rsid w:val="000C0751"/>
    <w:rsid w:val="000C4D4B"/>
    <w:rsid w:val="000C61A7"/>
    <w:rsid w:val="000C6F42"/>
    <w:rsid w:val="000C6FBA"/>
    <w:rsid w:val="000D0947"/>
    <w:rsid w:val="000D1DCB"/>
    <w:rsid w:val="000D4C47"/>
    <w:rsid w:val="000D7FC4"/>
    <w:rsid w:val="000E040B"/>
    <w:rsid w:val="000E0720"/>
    <w:rsid w:val="000E574A"/>
    <w:rsid w:val="000F2595"/>
    <w:rsid w:val="000F269C"/>
    <w:rsid w:val="000F2CD8"/>
    <w:rsid w:val="000F7339"/>
    <w:rsid w:val="000F7ADC"/>
    <w:rsid w:val="000F7D8D"/>
    <w:rsid w:val="001040F2"/>
    <w:rsid w:val="00104820"/>
    <w:rsid w:val="001052B0"/>
    <w:rsid w:val="00110986"/>
    <w:rsid w:val="001134E9"/>
    <w:rsid w:val="00113D8E"/>
    <w:rsid w:val="00117F44"/>
    <w:rsid w:val="00123477"/>
    <w:rsid w:val="00123F6B"/>
    <w:rsid w:val="001353A8"/>
    <w:rsid w:val="00137F32"/>
    <w:rsid w:val="001405FD"/>
    <w:rsid w:val="00140EC0"/>
    <w:rsid w:val="00142B97"/>
    <w:rsid w:val="00144967"/>
    <w:rsid w:val="00144C50"/>
    <w:rsid w:val="00145795"/>
    <w:rsid w:val="00151086"/>
    <w:rsid w:val="001549F3"/>
    <w:rsid w:val="00155AB6"/>
    <w:rsid w:val="0015764D"/>
    <w:rsid w:val="00157936"/>
    <w:rsid w:val="001625C7"/>
    <w:rsid w:val="00163977"/>
    <w:rsid w:val="00163C2A"/>
    <w:rsid w:val="001641CD"/>
    <w:rsid w:val="001701F3"/>
    <w:rsid w:val="001703C0"/>
    <w:rsid w:val="0017138E"/>
    <w:rsid w:val="00171E77"/>
    <w:rsid w:val="00171F3B"/>
    <w:rsid w:val="00172457"/>
    <w:rsid w:val="00172D1D"/>
    <w:rsid w:val="00173839"/>
    <w:rsid w:val="0017638F"/>
    <w:rsid w:val="00177679"/>
    <w:rsid w:val="00180EE3"/>
    <w:rsid w:val="00183A34"/>
    <w:rsid w:val="00186AD9"/>
    <w:rsid w:val="0018769C"/>
    <w:rsid w:val="001876A5"/>
    <w:rsid w:val="00191A50"/>
    <w:rsid w:val="00191B3E"/>
    <w:rsid w:val="00193041"/>
    <w:rsid w:val="00193E8D"/>
    <w:rsid w:val="001945A3"/>
    <w:rsid w:val="001964DB"/>
    <w:rsid w:val="001A32D6"/>
    <w:rsid w:val="001A3BFA"/>
    <w:rsid w:val="001A4488"/>
    <w:rsid w:val="001A5CE7"/>
    <w:rsid w:val="001B00E0"/>
    <w:rsid w:val="001B1326"/>
    <w:rsid w:val="001B166F"/>
    <w:rsid w:val="001B234B"/>
    <w:rsid w:val="001B296D"/>
    <w:rsid w:val="001B2DB5"/>
    <w:rsid w:val="001C1192"/>
    <w:rsid w:val="001C2795"/>
    <w:rsid w:val="001C33FC"/>
    <w:rsid w:val="001C4E95"/>
    <w:rsid w:val="001C6526"/>
    <w:rsid w:val="001C7736"/>
    <w:rsid w:val="001C7A3F"/>
    <w:rsid w:val="001D0290"/>
    <w:rsid w:val="001D5087"/>
    <w:rsid w:val="001D6CD2"/>
    <w:rsid w:val="001D6F00"/>
    <w:rsid w:val="001E144B"/>
    <w:rsid w:val="001E1460"/>
    <w:rsid w:val="001E29E1"/>
    <w:rsid w:val="001E359E"/>
    <w:rsid w:val="001E3C79"/>
    <w:rsid w:val="001E4420"/>
    <w:rsid w:val="001E55A5"/>
    <w:rsid w:val="001F036B"/>
    <w:rsid w:val="001F27BB"/>
    <w:rsid w:val="001F36AB"/>
    <w:rsid w:val="001F5567"/>
    <w:rsid w:val="001F5A0C"/>
    <w:rsid w:val="001F5E07"/>
    <w:rsid w:val="001F6A10"/>
    <w:rsid w:val="001F7453"/>
    <w:rsid w:val="001F7F88"/>
    <w:rsid w:val="00200675"/>
    <w:rsid w:val="002032C1"/>
    <w:rsid w:val="00204893"/>
    <w:rsid w:val="00204CD3"/>
    <w:rsid w:val="00206B68"/>
    <w:rsid w:val="00212046"/>
    <w:rsid w:val="00212AF4"/>
    <w:rsid w:val="00213858"/>
    <w:rsid w:val="00221260"/>
    <w:rsid w:val="00223B3C"/>
    <w:rsid w:val="002247A8"/>
    <w:rsid w:val="00224F54"/>
    <w:rsid w:val="0022654A"/>
    <w:rsid w:val="00232F53"/>
    <w:rsid w:val="002335A8"/>
    <w:rsid w:val="00235516"/>
    <w:rsid w:val="0024050F"/>
    <w:rsid w:val="002423F5"/>
    <w:rsid w:val="00242DDC"/>
    <w:rsid w:val="00243DB6"/>
    <w:rsid w:val="0024479E"/>
    <w:rsid w:val="0024678E"/>
    <w:rsid w:val="002472FC"/>
    <w:rsid w:val="0024755E"/>
    <w:rsid w:val="002475DE"/>
    <w:rsid w:val="00252E36"/>
    <w:rsid w:val="00255320"/>
    <w:rsid w:val="00255656"/>
    <w:rsid w:val="00255D7D"/>
    <w:rsid w:val="002608D7"/>
    <w:rsid w:val="0026098B"/>
    <w:rsid w:val="00266A4E"/>
    <w:rsid w:val="002708E0"/>
    <w:rsid w:val="00274BAD"/>
    <w:rsid w:val="0027583B"/>
    <w:rsid w:val="00284328"/>
    <w:rsid w:val="00285F37"/>
    <w:rsid w:val="00287581"/>
    <w:rsid w:val="00290AB9"/>
    <w:rsid w:val="00291D1F"/>
    <w:rsid w:val="0029341B"/>
    <w:rsid w:val="002935EA"/>
    <w:rsid w:val="00295611"/>
    <w:rsid w:val="00295EFB"/>
    <w:rsid w:val="002968F4"/>
    <w:rsid w:val="002A1C0C"/>
    <w:rsid w:val="002A31A1"/>
    <w:rsid w:val="002A3E20"/>
    <w:rsid w:val="002A6C86"/>
    <w:rsid w:val="002B042C"/>
    <w:rsid w:val="002B0E6C"/>
    <w:rsid w:val="002B18C2"/>
    <w:rsid w:val="002B1D81"/>
    <w:rsid w:val="002B252C"/>
    <w:rsid w:val="002B2B52"/>
    <w:rsid w:val="002B53D9"/>
    <w:rsid w:val="002C1302"/>
    <w:rsid w:val="002C20BA"/>
    <w:rsid w:val="002C3412"/>
    <w:rsid w:val="002C346F"/>
    <w:rsid w:val="002C480B"/>
    <w:rsid w:val="002C4E81"/>
    <w:rsid w:val="002C4F04"/>
    <w:rsid w:val="002C5FF2"/>
    <w:rsid w:val="002C6CA9"/>
    <w:rsid w:val="002C7C99"/>
    <w:rsid w:val="002D147A"/>
    <w:rsid w:val="002D4220"/>
    <w:rsid w:val="002D5A9F"/>
    <w:rsid w:val="002E3D0A"/>
    <w:rsid w:val="002E4248"/>
    <w:rsid w:val="002E5DC7"/>
    <w:rsid w:val="002E604C"/>
    <w:rsid w:val="002E628C"/>
    <w:rsid w:val="002E79A4"/>
    <w:rsid w:val="002F0151"/>
    <w:rsid w:val="002F036C"/>
    <w:rsid w:val="002F2651"/>
    <w:rsid w:val="003008EC"/>
    <w:rsid w:val="00302E8F"/>
    <w:rsid w:val="00304969"/>
    <w:rsid w:val="00307B8F"/>
    <w:rsid w:val="00311C67"/>
    <w:rsid w:val="00311E42"/>
    <w:rsid w:val="00313366"/>
    <w:rsid w:val="003136F0"/>
    <w:rsid w:val="00316199"/>
    <w:rsid w:val="00320B63"/>
    <w:rsid w:val="00321B7A"/>
    <w:rsid w:val="0032272B"/>
    <w:rsid w:val="003249A2"/>
    <w:rsid w:val="003258C9"/>
    <w:rsid w:val="00325ECC"/>
    <w:rsid w:val="00325F15"/>
    <w:rsid w:val="00330896"/>
    <w:rsid w:val="00330E4B"/>
    <w:rsid w:val="00331111"/>
    <w:rsid w:val="003315E7"/>
    <w:rsid w:val="00332A72"/>
    <w:rsid w:val="00340B96"/>
    <w:rsid w:val="003440DD"/>
    <w:rsid w:val="0034516E"/>
    <w:rsid w:val="003458A3"/>
    <w:rsid w:val="003503D6"/>
    <w:rsid w:val="00352610"/>
    <w:rsid w:val="00362F56"/>
    <w:rsid w:val="00365345"/>
    <w:rsid w:val="00365C79"/>
    <w:rsid w:val="003676BB"/>
    <w:rsid w:val="00370D93"/>
    <w:rsid w:val="00370E13"/>
    <w:rsid w:val="0037442A"/>
    <w:rsid w:val="003765E2"/>
    <w:rsid w:val="00376899"/>
    <w:rsid w:val="00376EE0"/>
    <w:rsid w:val="0037783B"/>
    <w:rsid w:val="00381093"/>
    <w:rsid w:val="00382923"/>
    <w:rsid w:val="00384E78"/>
    <w:rsid w:val="00387130"/>
    <w:rsid w:val="00387EB2"/>
    <w:rsid w:val="003908AB"/>
    <w:rsid w:val="00390C95"/>
    <w:rsid w:val="00391701"/>
    <w:rsid w:val="0039451E"/>
    <w:rsid w:val="003959CB"/>
    <w:rsid w:val="00395EC5"/>
    <w:rsid w:val="003961E4"/>
    <w:rsid w:val="003A0447"/>
    <w:rsid w:val="003A0E37"/>
    <w:rsid w:val="003A152D"/>
    <w:rsid w:val="003A3232"/>
    <w:rsid w:val="003A4393"/>
    <w:rsid w:val="003A604C"/>
    <w:rsid w:val="003A6399"/>
    <w:rsid w:val="003B2D92"/>
    <w:rsid w:val="003B2EF9"/>
    <w:rsid w:val="003B32B7"/>
    <w:rsid w:val="003B3F76"/>
    <w:rsid w:val="003B4FE7"/>
    <w:rsid w:val="003C2587"/>
    <w:rsid w:val="003C2A2A"/>
    <w:rsid w:val="003C4AAC"/>
    <w:rsid w:val="003D0551"/>
    <w:rsid w:val="003D1D1D"/>
    <w:rsid w:val="003D3100"/>
    <w:rsid w:val="003D46EB"/>
    <w:rsid w:val="003D5A50"/>
    <w:rsid w:val="003D6851"/>
    <w:rsid w:val="003D6C66"/>
    <w:rsid w:val="003E0E49"/>
    <w:rsid w:val="003E647F"/>
    <w:rsid w:val="003E74F4"/>
    <w:rsid w:val="003E7B91"/>
    <w:rsid w:val="003F4AFA"/>
    <w:rsid w:val="003F55C9"/>
    <w:rsid w:val="00401AB4"/>
    <w:rsid w:val="0040263F"/>
    <w:rsid w:val="004028F9"/>
    <w:rsid w:val="00404B5D"/>
    <w:rsid w:val="004066A9"/>
    <w:rsid w:val="00412DEC"/>
    <w:rsid w:val="004133BB"/>
    <w:rsid w:val="00413528"/>
    <w:rsid w:val="00413600"/>
    <w:rsid w:val="00413855"/>
    <w:rsid w:val="00413B20"/>
    <w:rsid w:val="00413EF8"/>
    <w:rsid w:val="00415674"/>
    <w:rsid w:val="00415AF8"/>
    <w:rsid w:val="004163FF"/>
    <w:rsid w:val="00420AAE"/>
    <w:rsid w:val="00420CAF"/>
    <w:rsid w:val="004218BD"/>
    <w:rsid w:val="00424896"/>
    <w:rsid w:val="00424E11"/>
    <w:rsid w:val="00425266"/>
    <w:rsid w:val="004273D2"/>
    <w:rsid w:val="00427F81"/>
    <w:rsid w:val="0043030C"/>
    <w:rsid w:val="00430738"/>
    <w:rsid w:val="004307AF"/>
    <w:rsid w:val="004430CF"/>
    <w:rsid w:val="00443B99"/>
    <w:rsid w:val="00444FE8"/>
    <w:rsid w:val="004461F5"/>
    <w:rsid w:val="00450B7E"/>
    <w:rsid w:val="00451B7F"/>
    <w:rsid w:val="00453AC7"/>
    <w:rsid w:val="0045515B"/>
    <w:rsid w:val="004574C5"/>
    <w:rsid w:val="00460514"/>
    <w:rsid w:val="004615DD"/>
    <w:rsid w:val="00462578"/>
    <w:rsid w:val="00463F4C"/>
    <w:rsid w:val="00465BA1"/>
    <w:rsid w:val="00466AF3"/>
    <w:rsid w:val="004705AE"/>
    <w:rsid w:val="00470D24"/>
    <w:rsid w:val="00470D73"/>
    <w:rsid w:val="00471313"/>
    <w:rsid w:val="00473199"/>
    <w:rsid w:val="004738D9"/>
    <w:rsid w:val="00474CD9"/>
    <w:rsid w:val="00474DFD"/>
    <w:rsid w:val="004761E9"/>
    <w:rsid w:val="00481C75"/>
    <w:rsid w:val="00482183"/>
    <w:rsid w:val="00484402"/>
    <w:rsid w:val="004915F9"/>
    <w:rsid w:val="00493645"/>
    <w:rsid w:val="00493AE0"/>
    <w:rsid w:val="004944E3"/>
    <w:rsid w:val="0049509D"/>
    <w:rsid w:val="00495CEB"/>
    <w:rsid w:val="0049605F"/>
    <w:rsid w:val="004A0111"/>
    <w:rsid w:val="004A2605"/>
    <w:rsid w:val="004A3DA0"/>
    <w:rsid w:val="004A40DE"/>
    <w:rsid w:val="004A4F7B"/>
    <w:rsid w:val="004B07B7"/>
    <w:rsid w:val="004B288D"/>
    <w:rsid w:val="004B3455"/>
    <w:rsid w:val="004B3F7C"/>
    <w:rsid w:val="004B406A"/>
    <w:rsid w:val="004B4EC4"/>
    <w:rsid w:val="004B620D"/>
    <w:rsid w:val="004B63BE"/>
    <w:rsid w:val="004B6CC8"/>
    <w:rsid w:val="004C1D76"/>
    <w:rsid w:val="004C2E8B"/>
    <w:rsid w:val="004C3462"/>
    <w:rsid w:val="004C36CC"/>
    <w:rsid w:val="004C5A72"/>
    <w:rsid w:val="004C5B64"/>
    <w:rsid w:val="004C7204"/>
    <w:rsid w:val="004D5A6C"/>
    <w:rsid w:val="004D603B"/>
    <w:rsid w:val="004D658C"/>
    <w:rsid w:val="004D67B3"/>
    <w:rsid w:val="004E05DA"/>
    <w:rsid w:val="004E10DF"/>
    <w:rsid w:val="004E2B73"/>
    <w:rsid w:val="004E38DB"/>
    <w:rsid w:val="004E5796"/>
    <w:rsid w:val="004E5D90"/>
    <w:rsid w:val="004F1414"/>
    <w:rsid w:val="004F1F6F"/>
    <w:rsid w:val="004F5E64"/>
    <w:rsid w:val="004F6423"/>
    <w:rsid w:val="005016D2"/>
    <w:rsid w:val="00503384"/>
    <w:rsid w:val="00503A74"/>
    <w:rsid w:val="00505D50"/>
    <w:rsid w:val="005103BC"/>
    <w:rsid w:val="005112D0"/>
    <w:rsid w:val="00512966"/>
    <w:rsid w:val="0051598B"/>
    <w:rsid w:val="005206F6"/>
    <w:rsid w:val="005236D8"/>
    <w:rsid w:val="00523C32"/>
    <w:rsid w:val="00523FE9"/>
    <w:rsid w:val="005246EF"/>
    <w:rsid w:val="00524BBF"/>
    <w:rsid w:val="00526FA1"/>
    <w:rsid w:val="0052783A"/>
    <w:rsid w:val="00527D53"/>
    <w:rsid w:val="005307CC"/>
    <w:rsid w:val="00530CC8"/>
    <w:rsid w:val="00533A1C"/>
    <w:rsid w:val="00533F3C"/>
    <w:rsid w:val="00536D50"/>
    <w:rsid w:val="00542BBD"/>
    <w:rsid w:val="00544EBE"/>
    <w:rsid w:val="00545C51"/>
    <w:rsid w:val="005468F8"/>
    <w:rsid w:val="00550C6C"/>
    <w:rsid w:val="005525CB"/>
    <w:rsid w:val="00552E21"/>
    <w:rsid w:val="005533BD"/>
    <w:rsid w:val="005605DC"/>
    <w:rsid w:val="00561762"/>
    <w:rsid w:val="00562594"/>
    <w:rsid w:val="00562E3C"/>
    <w:rsid w:val="00563235"/>
    <w:rsid w:val="00565737"/>
    <w:rsid w:val="00570AD8"/>
    <w:rsid w:val="00571759"/>
    <w:rsid w:val="00576F78"/>
    <w:rsid w:val="0058060F"/>
    <w:rsid w:val="00582390"/>
    <w:rsid w:val="005867E8"/>
    <w:rsid w:val="00590AA1"/>
    <w:rsid w:val="00591006"/>
    <w:rsid w:val="00591C9D"/>
    <w:rsid w:val="00594A33"/>
    <w:rsid w:val="0059556F"/>
    <w:rsid w:val="005957F1"/>
    <w:rsid w:val="005969A3"/>
    <w:rsid w:val="005974E3"/>
    <w:rsid w:val="005A1038"/>
    <w:rsid w:val="005A22A3"/>
    <w:rsid w:val="005A2E8F"/>
    <w:rsid w:val="005A472B"/>
    <w:rsid w:val="005A4E1C"/>
    <w:rsid w:val="005A5972"/>
    <w:rsid w:val="005A6510"/>
    <w:rsid w:val="005A6841"/>
    <w:rsid w:val="005A6D20"/>
    <w:rsid w:val="005B0D65"/>
    <w:rsid w:val="005B291F"/>
    <w:rsid w:val="005B2B25"/>
    <w:rsid w:val="005B2DED"/>
    <w:rsid w:val="005C096A"/>
    <w:rsid w:val="005C0D06"/>
    <w:rsid w:val="005C274E"/>
    <w:rsid w:val="005C2D0B"/>
    <w:rsid w:val="005C394C"/>
    <w:rsid w:val="005C3C34"/>
    <w:rsid w:val="005C4751"/>
    <w:rsid w:val="005C58EB"/>
    <w:rsid w:val="005C70A9"/>
    <w:rsid w:val="005D2722"/>
    <w:rsid w:val="005D4FB1"/>
    <w:rsid w:val="005D5AA4"/>
    <w:rsid w:val="005D5BB0"/>
    <w:rsid w:val="005D62C8"/>
    <w:rsid w:val="005E44A0"/>
    <w:rsid w:val="005E686F"/>
    <w:rsid w:val="005E7179"/>
    <w:rsid w:val="005F464A"/>
    <w:rsid w:val="005F4F60"/>
    <w:rsid w:val="006014CC"/>
    <w:rsid w:val="006014F8"/>
    <w:rsid w:val="006025E3"/>
    <w:rsid w:val="006030FF"/>
    <w:rsid w:val="00605700"/>
    <w:rsid w:val="0060733A"/>
    <w:rsid w:val="006077D2"/>
    <w:rsid w:val="006115FE"/>
    <w:rsid w:val="00614258"/>
    <w:rsid w:val="00614491"/>
    <w:rsid w:val="0061727D"/>
    <w:rsid w:val="006232CA"/>
    <w:rsid w:val="00623436"/>
    <w:rsid w:val="00623F78"/>
    <w:rsid w:val="006240A9"/>
    <w:rsid w:val="00626265"/>
    <w:rsid w:val="00631D5E"/>
    <w:rsid w:val="0064032C"/>
    <w:rsid w:val="00642856"/>
    <w:rsid w:val="00642996"/>
    <w:rsid w:val="00644143"/>
    <w:rsid w:val="00646399"/>
    <w:rsid w:val="0064667F"/>
    <w:rsid w:val="006520BB"/>
    <w:rsid w:val="006560E8"/>
    <w:rsid w:val="00657EA3"/>
    <w:rsid w:val="006624D2"/>
    <w:rsid w:val="00663441"/>
    <w:rsid w:val="006646A8"/>
    <w:rsid w:val="00664885"/>
    <w:rsid w:val="0066644A"/>
    <w:rsid w:val="006673E4"/>
    <w:rsid w:val="0066758B"/>
    <w:rsid w:val="0067065F"/>
    <w:rsid w:val="00670AD1"/>
    <w:rsid w:val="0067127A"/>
    <w:rsid w:val="00671B6C"/>
    <w:rsid w:val="00671F47"/>
    <w:rsid w:val="00673499"/>
    <w:rsid w:val="00673D5B"/>
    <w:rsid w:val="00676940"/>
    <w:rsid w:val="0067694F"/>
    <w:rsid w:val="00677878"/>
    <w:rsid w:val="00684C9F"/>
    <w:rsid w:val="00685634"/>
    <w:rsid w:val="006876B5"/>
    <w:rsid w:val="006909D0"/>
    <w:rsid w:val="00691DA2"/>
    <w:rsid w:val="006951BF"/>
    <w:rsid w:val="0069564F"/>
    <w:rsid w:val="00695A02"/>
    <w:rsid w:val="00696AF6"/>
    <w:rsid w:val="0069761C"/>
    <w:rsid w:val="006A0135"/>
    <w:rsid w:val="006A29C2"/>
    <w:rsid w:val="006A2F0B"/>
    <w:rsid w:val="006A3F79"/>
    <w:rsid w:val="006A4138"/>
    <w:rsid w:val="006A6693"/>
    <w:rsid w:val="006A7474"/>
    <w:rsid w:val="006B2091"/>
    <w:rsid w:val="006B345A"/>
    <w:rsid w:val="006B3E3B"/>
    <w:rsid w:val="006B4F52"/>
    <w:rsid w:val="006B72EE"/>
    <w:rsid w:val="006C2CFA"/>
    <w:rsid w:val="006C392B"/>
    <w:rsid w:val="006C3C8D"/>
    <w:rsid w:val="006C3EE4"/>
    <w:rsid w:val="006C79C3"/>
    <w:rsid w:val="006D02FC"/>
    <w:rsid w:val="006D05CC"/>
    <w:rsid w:val="006D245A"/>
    <w:rsid w:val="006D3CFE"/>
    <w:rsid w:val="006D4AC0"/>
    <w:rsid w:val="006D5226"/>
    <w:rsid w:val="006D5770"/>
    <w:rsid w:val="006E1AD6"/>
    <w:rsid w:val="006E6B81"/>
    <w:rsid w:val="006E73A1"/>
    <w:rsid w:val="006E7E1A"/>
    <w:rsid w:val="006F0B00"/>
    <w:rsid w:val="006F1CB8"/>
    <w:rsid w:val="006F276C"/>
    <w:rsid w:val="006F2F59"/>
    <w:rsid w:val="006F3918"/>
    <w:rsid w:val="006F6037"/>
    <w:rsid w:val="007004EA"/>
    <w:rsid w:val="00701740"/>
    <w:rsid w:val="00705E48"/>
    <w:rsid w:val="007061A3"/>
    <w:rsid w:val="0071008B"/>
    <w:rsid w:val="0071413F"/>
    <w:rsid w:val="00717856"/>
    <w:rsid w:val="007258B0"/>
    <w:rsid w:val="0072638B"/>
    <w:rsid w:val="007300ED"/>
    <w:rsid w:val="00730308"/>
    <w:rsid w:val="00735331"/>
    <w:rsid w:val="00735C2B"/>
    <w:rsid w:val="0073679B"/>
    <w:rsid w:val="00740051"/>
    <w:rsid w:val="00740E43"/>
    <w:rsid w:val="00740F5E"/>
    <w:rsid w:val="007423AC"/>
    <w:rsid w:val="00742A56"/>
    <w:rsid w:val="007440A1"/>
    <w:rsid w:val="00751554"/>
    <w:rsid w:val="00753B6D"/>
    <w:rsid w:val="00754E89"/>
    <w:rsid w:val="00755B3E"/>
    <w:rsid w:val="00757DE6"/>
    <w:rsid w:val="007601C3"/>
    <w:rsid w:val="0076289E"/>
    <w:rsid w:val="00762962"/>
    <w:rsid w:val="00766D21"/>
    <w:rsid w:val="0076724A"/>
    <w:rsid w:val="00767D42"/>
    <w:rsid w:val="0077148E"/>
    <w:rsid w:val="007730E0"/>
    <w:rsid w:val="007753FF"/>
    <w:rsid w:val="007762B7"/>
    <w:rsid w:val="00781E09"/>
    <w:rsid w:val="00782A80"/>
    <w:rsid w:val="00787410"/>
    <w:rsid w:val="00790295"/>
    <w:rsid w:val="00790405"/>
    <w:rsid w:val="00791306"/>
    <w:rsid w:val="0079248C"/>
    <w:rsid w:val="00793ED4"/>
    <w:rsid w:val="00794705"/>
    <w:rsid w:val="007952FF"/>
    <w:rsid w:val="007A368E"/>
    <w:rsid w:val="007A4845"/>
    <w:rsid w:val="007B07DA"/>
    <w:rsid w:val="007B118A"/>
    <w:rsid w:val="007B2D68"/>
    <w:rsid w:val="007B3A6B"/>
    <w:rsid w:val="007B3F79"/>
    <w:rsid w:val="007B6C56"/>
    <w:rsid w:val="007C23F7"/>
    <w:rsid w:val="007C5601"/>
    <w:rsid w:val="007D0C9B"/>
    <w:rsid w:val="007D2916"/>
    <w:rsid w:val="007D3090"/>
    <w:rsid w:val="007D5243"/>
    <w:rsid w:val="007D78BB"/>
    <w:rsid w:val="007E23EF"/>
    <w:rsid w:val="007E39D7"/>
    <w:rsid w:val="007E559E"/>
    <w:rsid w:val="007E6116"/>
    <w:rsid w:val="007E6266"/>
    <w:rsid w:val="007E79E1"/>
    <w:rsid w:val="007F0610"/>
    <w:rsid w:val="007F4F57"/>
    <w:rsid w:val="007F56B0"/>
    <w:rsid w:val="007F5D13"/>
    <w:rsid w:val="00800032"/>
    <w:rsid w:val="00800499"/>
    <w:rsid w:val="00800D70"/>
    <w:rsid w:val="00810817"/>
    <w:rsid w:val="00810D18"/>
    <w:rsid w:val="00811644"/>
    <w:rsid w:val="00812D3D"/>
    <w:rsid w:val="008146C4"/>
    <w:rsid w:val="00814A0D"/>
    <w:rsid w:val="008177C0"/>
    <w:rsid w:val="00817A65"/>
    <w:rsid w:val="00820A5F"/>
    <w:rsid w:val="0082214B"/>
    <w:rsid w:val="008238AE"/>
    <w:rsid w:val="00824146"/>
    <w:rsid w:val="00824F1B"/>
    <w:rsid w:val="00830105"/>
    <w:rsid w:val="00832D6E"/>
    <w:rsid w:val="00833B9C"/>
    <w:rsid w:val="00841615"/>
    <w:rsid w:val="00841BA6"/>
    <w:rsid w:val="00843544"/>
    <w:rsid w:val="008468E6"/>
    <w:rsid w:val="00850AD3"/>
    <w:rsid w:val="00851711"/>
    <w:rsid w:val="00851C0A"/>
    <w:rsid w:val="00851F19"/>
    <w:rsid w:val="00852D36"/>
    <w:rsid w:val="00854C21"/>
    <w:rsid w:val="00856ECA"/>
    <w:rsid w:val="00857DDB"/>
    <w:rsid w:val="00857E49"/>
    <w:rsid w:val="008608C0"/>
    <w:rsid w:val="00860FF0"/>
    <w:rsid w:val="008749BA"/>
    <w:rsid w:val="00876C7C"/>
    <w:rsid w:val="00877CCF"/>
    <w:rsid w:val="00882507"/>
    <w:rsid w:val="00882521"/>
    <w:rsid w:val="008870D7"/>
    <w:rsid w:val="00890290"/>
    <w:rsid w:val="00890775"/>
    <w:rsid w:val="008907D0"/>
    <w:rsid w:val="00891225"/>
    <w:rsid w:val="00892539"/>
    <w:rsid w:val="00892B30"/>
    <w:rsid w:val="00894457"/>
    <w:rsid w:val="00894B4B"/>
    <w:rsid w:val="008958A0"/>
    <w:rsid w:val="008A14DB"/>
    <w:rsid w:val="008A480A"/>
    <w:rsid w:val="008A56D8"/>
    <w:rsid w:val="008A5822"/>
    <w:rsid w:val="008B031E"/>
    <w:rsid w:val="008B07AE"/>
    <w:rsid w:val="008B50CC"/>
    <w:rsid w:val="008B52AD"/>
    <w:rsid w:val="008B70A0"/>
    <w:rsid w:val="008B7853"/>
    <w:rsid w:val="008B78F9"/>
    <w:rsid w:val="008C1B3C"/>
    <w:rsid w:val="008C289F"/>
    <w:rsid w:val="008D7221"/>
    <w:rsid w:val="008E359B"/>
    <w:rsid w:val="008E3AA6"/>
    <w:rsid w:val="008E6366"/>
    <w:rsid w:val="008E7FF6"/>
    <w:rsid w:val="008F0515"/>
    <w:rsid w:val="008F4F19"/>
    <w:rsid w:val="008F5D21"/>
    <w:rsid w:val="008F6A57"/>
    <w:rsid w:val="008F74D9"/>
    <w:rsid w:val="008F7CBD"/>
    <w:rsid w:val="00903E72"/>
    <w:rsid w:val="009057CE"/>
    <w:rsid w:val="00905AD0"/>
    <w:rsid w:val="0090612E"/>
    <w:rsid w:val="00906988"/>
    <w:rsid w:val="00906F84"/>
    <w:rsid w:val="00907E58"/>
    <w:rsid w:val="00911E90"/>
    <w:rsid w:val="00911F4C"/>
    <w:rsid w:val="0091385C"/>
    <w:rsid w:val="00913E59"/>
    <w:rsid w:val="00914CF6"/>
    <w:rsid w:val="0091619C"/>
    <w:rsid w:val="0092005E"/>
    <w:rsid w:val="00920836"/>
    <w:rsid w:val="00920C6F"/>
    <w:rsid w:val="0092142A"/>
    <w:rsid w:val="00923480"/>
    <w:rsid w:val="00923B61"/>
    <w:rsid w:val="00926B0F"/>
    <w:rsid w:val="00930D4D"/>
    <w:rsid w:val="00930DD2"/>
    <w:rsid w:val="00932753"/>
    <w:rsid w:val="00932F08"/>
    <w:rsid w:val="00934223"/>
    <w:rsid w:val="00941683"/>
    <w:rsid w:val="009429FC"/>
    <w:rsid w:val="00942FCE"/>
    <w:rsid w:val="00944225"/>
    <w:rsid w:val="00945C2D"/>
    <w:rsid w:val="00945DAF"/>
    <w:rsid w:val="0094630A"/>
    <w:rsid w:val="009516EA"/>
    <w:rsid w:val="009519A2"/>
    <w:rsid w:val="009557DC"/>
    <w:rsid w:val="00955C36"/>
    <w:rsid w:val="00955EB9"/>
    <w:rsid w:val="009615CD"/>
    <w:rsid w:val="009616F2"/>
    <w:rsid w:val="00962401"/>
    <w:rsid w:val="00966816"/>
    <w:rsid w:val="0096791E"/>
    <w:rsid w:val="00967F61"/>
    <w:rsid w:val="00970288"/>
    <w:rsid w:val="00971107"/>
    <w:rsid w:val="0097427A"/>
    <w:rsid w:val="00977EA8"/>
    <w:rsid w:val="009806C4"/>
    <w:rsid w:val="00980D7D"/>
    <w:rsid w:val="00980FA8"/>
    <w:rsid w:val="00981801"/>
    <w:rsid w:val="00981B8E"/>
    <w:rsid w:val="00983A61"/>
    <w:rsid w:val="00983ADD"/>
    <w:rsid w:val="00984827"/>
    <w:rsid w:val="00984CA0"/>
    <w:rsid w:val="009852B6"/>
    <w:rsid w:val="00986208"/>
    <w:rsid w:val="00986302"/>
    <w:rsid w:val="0099192E"/>
    <w:rsid w:val="00992A03"/>
    <w:rsid w:val="00993395"/>
    <w:rsid w:val="00994F0B"/>
    <w:rsid w:val="00995ECC"/>
    <w:rsid w:val="00997995"/>
    <w:rsid w:val="00997EB3"/>
    <w:rsid w:val="009A0D13"/>
    <w:rsid w:val="009A0DB2"/>
    <w:rsid w:val="009A14C9"/>
    <w:rsid w:val="009A41D0"/>
    <w:rsid w:val="009A6A1A"/>
    <w:rsid w:val="009B0F13"/>
    <w:rsid w:val="009B47DF"/>
    <w:rsid w:val="009B5D08"/>
    <w:rsid w:val="009B7672"/>
    <w:rsid w:val="009B7673"/>
    <w:rsid w:val="009C021F"/>
    <w:rsid w:val="009C4345"/>
    <w:rsid w:val="009C6D63"/>
    <w:rsid w:val="009C7A4F"/>
    <w:rsid w:val="009C7D07"/>
    <w:rsid w:val="009D1A5C"/>
    <w:rsid w:val="009D2D80"/>
    <w:rsid w:val="009D302D"/>
    <w:rsid w:val="009D55FB"/>
    <w:rsid w:val="009D7D8B"/>
    <w:rsid w:val="009E0902"/>
    <w:rsid w:val="009E0AA4"/>
    <w:rsid w:val="009E3055"/>
    <w:rsid w:val="009E33A4"/>
    <w:rsid w:val="009E4705"/>
    <w:rsid w:val="009E5A89"/>
    <w:rsid w:val="009E6A1A"/>
    <w:rsid w:val="009E7464"/>
    <w:rsid w:val="009F00AB"/>
    <w:rsid w:val="009F46B9"/>
    <w:rsid w:val="009F48FA"/>
    <w:rsid w:val="009F63D7"/>
    <w:rsid w:val="00A000C6"/>
    <w:rsid w:val="00A00EF2"/>
    <w:rsid w:val="00A0140F"/>
    <w:rsid w:val="00A0142B"/>
    <w:rsid w:val="00A018DF"/>
    <w:rsid w:val="00A02C10"/>
    <w:rsid w:val="00A03F35"/>
    <w:rsid w:val="00A05FE8"/>
    <w:rsid w:val="00A063EB"/>
    <w:rsid w:val="00A07FD5"/>
    <w:rsid w:val="00A12271"/>
    <w:rsid w:val="00A1361A"/>
    <w:rsid w:val="00A1448C"/>
    <w:rsid w:val="00A148F0"/>
    <w:rsid w:val="00A208FF"/>
    <w:rsid w:val="00A2235F"/>
    <w:rsid w:val="00A2276D"/>
    <w:rsid w:val="00A25A25"/>
    <w:rsid w:val="00A26C39"/>
    <w:rsid w:val="00A27266"/>
    <w:rsid w:val="00A31C75"/>
    <w:rsid w:val="00A33EDF"/>
    <w:rsid w:val="00A349A0"/>
    <w:rsid w:val="00A34AAB"/>
    <w:rsid w:val="00A35531"/>
    <w:rsid w:val="00A36D71"/>
    <w:rsid w:val="00A45CA4"/>
    <w:rsid w:val="00A503CB"/>
    <w:rsid w:val="00A51B66"/>
    <w:rsid w:val="00A526AB"/>
    <w:rsid w:val="00A56A28"/>
    <w:rsid w:val="00A57549"/>
    <w:rsid w:val="00A57D3F"/>
    <w:rsid w:val="00A60853"/>
    <w:rsid w:val="00A616F0"/>
    <w:rsid w:val="00A61B18"/>
    <w:rsid w:val="00A627C4"/>
    <w:rsid w:val="00A62B70"/>
    <w:rsid w:val="00A62E49"/>
    <w:rsid w:val="00A67542"/>
    <w:rsid w:val="00A71255"/>
    <w:rsid w:val="00A71DDB"/>
    <w:rsid w:val="00A73EFB"/>
    <w:rsid w:val="00A74A9D"/>
    <w:rsid w:val="00A767EE"/>
    <w:rsid w:val="00A769CF"/>
    <w:rsid w:val="00A772C9"/>
    <w:rsid w:val="00A81F4B"/>
    <w:rsid w:val="00A8329B"/>
    <w:rsid w:val="00A833C3"/>
    <w:rsid w:val="00A84172"/>
    <w:rsid w:val="00A841B5"/>
    <w:rsid w:val="00A8461B"/>
    <w:rsid w:val="00A85509"/>
    <w:rsid w:val="00A87AEC"/>
    <w:rsid w:val="00A907BB"/>
    <w:rsid w:val="00A931CA"/>
    <w:rsid w:val="00A95AB3"/>
    <w:rsid w:val="00AA2697"/>
    <w:rsid w:val="00AA48EA"/>
    <w:rsid w:val="00AA7C8E"/>
    <w:rsid w:val="00AB0DCD"/>
    <w:rsid w:val="00AC5530"/>
    <w:rsid w:val="00AC5E9A"/>
    <w:rsid w:val="00AC5EC5"/>
    <w:rsid w:val="00AD00BE"/>
    <w:rsid w:val="00AD09D2"/>
    <w:rsid w:val="00AD20FC"/>
    <w:rsid w:val="00AD3BD8"/>
    <w:rsid w:val="00AD3E8B"/>
    <w:rsid w:val="00AD4F46"/>
    <w:rsid w:val="00AD589B"/>
    <w:rsid w:val="00AD5BE9"/>
    <w:rsid w:val="00AD7601"/>
    <w:rsid w:val="00AE0820"/>
    <w:rsid w:val="00AE1109"/>
    <w:rsid w:val="00AE5A8F"/>
    <w:rsid w:val="00AF07C0"/>
    <w:rsid w:val="00AF22D5"/>
    <w:rsid w:val="00AF54D6"/>
    <w:rsid w:val="00AF75CC"/>
    <w:rsid w:val="00B00371"/>
    <w:rsid w:val="00B0278F"/>
    <w:rsid w:val="00B03436"/>
    <w:rsid w:val="00B03882"/>
    <w:rsid w:val="00B046C3"/>
    <w:rsid w:val="00B0692E"/>
    <w:rsid w:val="00B11524"/>
    <w:rsid w:val="00B11858"/>
    <w:rsid w:val="00B13186"/>
    <w:rsid w:val="00B13488"/>
    <w:rsid w:val="00B13956"/>
    <w:rsid w:val="00B1512D"/>
    <w:rsid w:val="00B15D20"/>
    <w:rsid w:val="00B1600A"/>
    <w:rsid w:val="00B16F1F"/>
    <w:rsid w:val="00B171B5"/>
    <w:rsid w:val="00B1749B"/>
    <w:rsid w:val="00B176B3"/>
    <w:rsid w:val="00B17D94"/>
    <w:rsid w:val="00B20150"/>
    <w:rsid w:val="00B228C1"/>
    <w:rsid w:val="00B23A8F"/>
    <w:rsid w:val="00B246BB"/>
    <w:rsid w:val="00B26DEA"/>
    <w:rsid w:val="00B30114"/>
    <w:rsid w:val="00B3093D"/>
    <w:rsid w:val="00B32236"/>
    <w:rsid w:val="00B3359A"/>
    <w:rsid w:val="00B34D18"/>
    <w:rsid w:val="00B408BA"/>
    <w:rsid w:val="00B40CE1"/>
    <w:rsid w:val="00B410CC"/>
    <w:rsid w:val="00B41493"/>
    <w:rsid w:val="00B41EBC"/>
    <w:rsid w:val="00B4327D"/>
    <w:rsid w:val="00B45DFF"/>
    <w:rsid w:val="00B53877"/>
    <w:rsid w:val="00B54298"/>
    <w:rsid w:val="00B616B9"/>
    <w:rsid w:val="00B642CE"/>
    <w:rsid w:val="00B6717C"/>
    <w:rsid w:val="00B67AE2"/>
    <w:rsid w:val="00B725D9"/>
    <w:rsid w:val="00B74586"/>
    <w:rsid w:val="00B75170"/>
    <w:rsid w:val="00B773ED"/>
    <w:rsid w:val="00B77E55"/>
    <w:rsid w:val="00B77FBE"/>
    <w:rsid w:val="00B81681"/>
    <w:rsid w:val="00B81811"/>
    <w:rsid w:val="00B81FB7"/>
    <w:rsid w:val="00B822A7"/>
    <w:rsid w:val="00B83418"/>
    <w:rsid w:val="00B863D9"/>
    <w:rsid w:val="00B86F46"/>
    <w:rsid w:val="00B87B5F"/>
    <w:rsid w:val="00B9050C"/>
    <w:rsid w:val="00B9110E"/>
    <w:rsid w:val="00B9205B"/>
    <w:rsid w:val="00BA1495"/>
    <w:rsid w:val="00BA300E"/>
    <w:rsid w:val="00BA3E6D"/>
    <w:rsid w:val="00BA4F10"/>
    <w:rsid w:val="00BA6F2B"/>
    <w:rsid w:val="00BA7CCB"/>
    <w:rsid w:val="00BB03BD"/>
    <w:rsid w:val="00BB2467"/>
    <w:rsid w:val="00BB7C3A"/>
    <w:rsid w:val="00BC2B70"/>
    <w:rsid w:val="00BC2E51"/>
    <w:rsid w:val="00BC37BF"/>
    <w:rsid w:val="00BC4F8C"/>
    <w:rsid w:val="00BC6FE4"/>
    <w:rsid w:val="00BD072A"/>
    <w:rsid w:val="00BD0B62"/>
    <w:rsid w:val="00BD1167"/>
    <w:rsid w:val="00BD3756"/>
    <w:rsid w:val="00BD6346"/>
    <w:rsid w:val="00BD6DF2"/>
    <w:rsid w:val="00BD6F0C"/>
    <w:rsid w:val="00BE061E"/>
    <w:rsid w:val="00BE1AEF"/>
    <w:rsid w:val="00BE2747"/>
    <w:rsid w:val="00BE337E"/>
    <w:rsid w:val="00BE522F"/>
    <w:rsid w:val="00BE52F8"/>
    <w:rsid w:val="00BE6013"/>
    <w:rsid w:val="00BE71A8"/>
    <w:rsid w:val="00BF0416"/>
    <w:rsid w:val="00BF1208"/>
    <w:rsid w:val="00BF59E1"/>
    <w:rsid w:val="00BF6D16"/>
    <w:rsid w:val="00BF77C4"/>
    <w:rsid w:val="00C00E21"/>
    <w:rsid w:val="00C0368C"/>
    <w:rsid w:val="00C03967"/>
    <w:rsid w:val="00C0422C"/>
    <w:rsid w:val="00C06469"/>
    <w:rsid w:val="00C07309"/>
    <w:rsid w:val="00C10005"/>
    <w:rsid w:val="00C151B2"/>
    <w:rsid w:val="00C17F5C"/>
    <w:rsid w:val="00C2115E"/>
    <w:rsid w:val="00C22ABE"/>
    <w:rsid w:val="00C23DB4"/>
    <w:rsid w:val="00C26ABC"/>
    <w:rsid w:val="00C3070F"/>
    <w:rsid w:val="00C30944"/>
    <w:rsid w:val="00C33599"/>
    <w:rsid w:val="00C34C93"/>
    <w:rsid w:val="00C35DEE"/>
    <w:rsid w:val="00C37970"/>
    <w:rsid w:val="00C404B5"/>
    <w:rsid w:val="00C44168"/>
    <w:rsid w:val="00C44210"/>
    <w:rsid w:val="00C4699C"/>
    <w:rsid w:val="00C5166D"/>
    <w:rsid w:val="00C51FC1"/>
    <w:rsid w:val="00C5554C"/>
    <w:rsid w:val="00C600F6"/>
    <w:rsid w:val="00C635EB"/>
    <w:rsid w:val="00C649F3"/>
    <w:rsid w:val="00C64F53"/>
    <w:rsid w:val="00C650E4"/>
    <w:rsid w:val="00C6568A"/>
    <w:rsid w:val="00C65747"/>
    <w:rsid w:val="00C660A3"/>
    <w:rsid w:val="00C66487"/>
    <w:rsid w:val="00C66E22"/>
    <w:rsid w:val="00C704FE"/>
    <w:rsid w:val="00C74615"/>
    <w:rsid w:val="00C74EED"/>
    <w:rsid w:val="00C754B6"/>
    <w:rsid w:val="00C75D08"/>
    <w:rsid w:val="00C7763B"/>
    <w:rsid w:val="00C77B67"/>
    <w:rsid w:val="00C77C14"/>
    <w:rsid w:val="00C80A54"/>
    <w:rsid w:val="00C84501"/>
    <w:rsid w:val="00C865EA"/>
    <w:rsid w:val="00C9222A"/>
    <w:rsid w:val="00C94715"/>
    <w:rsid w:val="00C959D9"/>
    <w:rsid w:val="00CA0F1F"/>
    <w:rsid w:val="00CA14E6"/>
    <w:rsid w:val="00CA1B18"/>
    <w:rsid w:val="00CA2312"/>
    <w:rsid w:val="00CA34DE"/>
    <w:rsid w:val="00CA4146"/>
    <w:rsid w:val="00CA41F0"/>
    <w:rsid w:val="00CA7FC4"/>
    <w:rsid w:val="00CB302C"/>
    <w:rsid w:val="00CB604D"/>
    <w:rsid w:val="00CB648C"/>
    <w:rsid w:val="00CC186D"/>
    <w:rsid w:val="00CC738F"/>
    <w:rsid w:val="00CC7987"/>
    <w:rsid w:val="00CD0E9D"/>
    <w:rsid w:val="00CD6D3D"/>
    <w:rsid w:val="00CE27E0"/>
    <w:rsid w:val="00CE4CC7"/>
    <w:rsid w:val="00CE4DA1"/>
    <w:rsid w:val="00CE4EA9"/>
    <w:rsid w:val="00CE6248"/>
    <w:rsid w:val="00CF0C65"/>
    <w:rsid w:val="00CF172B"/>
    <w:rsid w:val="00CF30A0"/>
    <w:rsid w:val="00CF3ED2"/>
    <w:rsid w:val="00D00C35"/>
    <w:rsid w:val="00D0188A"/>
    <w:rsid w:val="00D0272F"/>
    <w:rsid w:val="00D06B98"/>
    <w:rsid w:val="00D10177"/>
    <w:rsid w:val="00D102C5"/>
    <w:rsid w:val="00D1303D"/>
    <w:rsid w:val="00D13CFB"/>
    <w:rsid w:val="00D14B5D"/>
    <w:rsid w:val="00D15A75"/>
    <w:rsid w:val="00D164A0"/>
    <w:rsid w:val="00D245FA"/>
    <w:rsid w:val="00D25D56"/>
    <w:rsid w:val="00D27795"/>
    <w:rsid w:val="00D30DB9"/>
    <w:rsid w:val="00D3630A"/>
    <w:rsid w:val="00D36696"/>
    <w:rsid w:val="00D406FF"/>
    <w:rsid w:val="00D40974"/>
    <w:rsid w:val="00D43D9E"/>
    <w:rsid w:val="00D457FD"/>
    <w:rsid w:val="00D46A41"/>
    <w:rsid w:val="00D51F8D"/>
    <w:rsid w:val="00D52C01"/>
    <w:rsid w:val="00D5306D"/>
    <w:rsid w:val="00D53EF1"/>
    <w:rsid w:val="00D547A2"/>
    <w:rsid w:val="00D56A87"/>
    <w:rsid w:val="00D60B57"/>
    <w:rsid w:val="00D65027"/>
    <w:rsid w:val="00D65D30"/>
    <w:rsid w:val="00D65D79"/>
    <w:rsid w:val="00D66994"/>
    <w:rsid w:val="00D66D6C"/>
    <w:rsid w:val="00D67752"/>
    <w:rsid w:val="00D7028E"/>
    <w:rsid w:val="00D716C1"/>
    <w:rsid w:val="00D71928"/>
    <w:rsid w:val="00D71CCE"/>
    <w:rsid w:val="00D74431"/>
    <w:rsid w:val="00D74EC1"/>
    <w:rsid w:val="00D769BD"/>
    <w:rsid w:val="00D80CA5"/>
    <w:rsid w:val="00D83FCB"/>
    <w:rsid w:val="00D842C2"/>
    <w:rsid w:val="00D84D07"/>
    <w:rsid w:val="00D85E44"/>
    <w:rsid w:val="00D912F3"/>
    <w:rsid w:val="00D917C9"/>
    <w:rsid w:val="00D918F0"/>
    <w:rsid w:val="00D919C2"/>
    <w:rsid w:val="00D92050"/>
    <w:rsid w:val="00D931D8"/>
    <w:rsid w:val="00D940DA"/>
    <w:rsid w:val="00D97B2A"/>
    <w:rsid w:val="00D97D73"/>
    <w:rsid w:val="00DA2856"/>
    <w:rsid w:val="00DA2A6E"/>
    <w:rsid w:val="00DA5402"/>
    <w:rsid w:val="00DA5FFA"/>
    <w:rsid w:val="00DB45F3"/>
    <w:rsid w:val="00DB4FC3"/>
    <w:rsid w:val="00DB60D6"/>
    <w:rsid w:val="00DC1284"/>
    <w:rsid w:val="00DC38A8"/>
    <w:rsid w:val="00DC4519"/>
    <w:rsid w:val="00DC563A"/>
    <w:rsid w:val="00DC7139"/>
    <w:rsid w:val="00DD1387"/>
    <w:rsid w:val="00DD1878"/>
    <w:rsid w:val="00DD23B4"/>
    <w:rsid w:val="00DD40F2"/>
    <w:rsid w:val="00DD4E05"/>
    <w:rsid w:val="00DD792B"/>
    <w:rsid w:val="00DE0774"/>
    <w:rsid w:val="00DE1EF0"/>
    <w:rsid w:val="00DE2A5F"/>
    <w:rsid w:val="00DE3F6B"/>
    <w:rsid w:val="00DE7788"/>
    <w:rsid w:val="00DF0A39"/>
    <w:rsid w:val="00DF49C3"/>
    <w:rsid w:val="00DF6116"/>
    <w:rsid w:val="00E0061A"/>
    <w:rsid w:val="00E01265"/>
    <w:rsid w:val="00E01E79"/>
    <w:rsid w:val="00E0234C"/>
    <w:rsid w:val="00E02DEF"/>
    <w:rsid w:val="00E04AB5"/>
    <w:rsid w:val="00E04F31"/>
    <w:rsid w:val="00E11316"/>
    <w:rsid w:val="00E11E97"/>
    <w:rsid w:val="00E12F33"/>
    <w:rsid w:val="00E14FC5"/>
    <w:rsid w:val="00E170A8"/>
    <w:rsid w:val="00E17DF7"/>
    <w:rsid w:val="00E25003"/>
    <w:rsid w:val="00E260D7"/>
    <w:rsid w:val="00E2681E"/>
    <w:rsid w:val="00E26FE1"/>
    <w:rsid w:val="00E32027"/>
    <w:rsid w:val="00E330D9"/>
    <w:rsid w:val="00E3381D"/>
    <w:rsid w:val="00E370E4"/>
    <w:rsid w:val="00E40B74"/>
    <w:rsid w:val="00E42A5B"/>
    <w:rsid w:val="00E43EF7"/>
    <w:rsid w:val="00E45AF9"/>
    <w:rsid w:val="00E47465"/>
    <w:rsid w:val="00E47475"/>
    <w:rsid w:val="00E4799E"/>
    <w:rsid w:val="00E5067E"/>
    <w:rsid w:val="00E51878"/>
    <w:rsid w:val="00E60541"/>
    <w:rsid w:val="00E62712"/>
    <w:rsid w:val="00E65115"/>
    <w:rsid w:val="00E663B3"/>
    <w:rsid w:val="00E674A2"/>
    <w:rsid w:val="00E675DD"/>
    <w:rsid w:val="00E702C7"/>
    <w:rsid w:val="00E70FB3"/>
    <w:rsid w:val="00E71283"/>
    <w:rsid w:val="00E722F1"/>
    <w:rsid w:val="00E72899"/>
    <w:rsid w:val="00E73A39"/>
    <w:rsid w:val="00E74778"/>
    <w:rsid w:val="00E75154"/>
    <w:rsid w:val="00E77683"/>
    <w:rsid w:val="00E80D45"/>
    <w:rsid w:val="00E81699"/>
    <w:rsid w:val="00E81B3C"/>
    <w:rsid w:val="00E8794A"/>
    <w:rsid w:val="00E90F9A"/>
    <w:rsid w:val="00E91024"/>
    <w:rsid w:val="00E9249B"/>
    <w:rsid w:val="00E95475"/>
    <w:rsid w:val="00E962D2"/>
    <w:rsid w:val="00E968A2"/>
    <w:rsid w:val="00EA263E"/>
    <w:rsid w:val="00EA2AD6"/>
    <w:rsid w:val="00EA4F2E"/>
    <w:rsid w:val="00EA64D0"/>
    <w:rsid w:val="00EA6D21"/>
    <w:rsid w:val="00EA6EE3"/>
    <w:rsid w:val="00EB034A"/>
    <w:rsid w:val="00EB246A"/>
    <w:rsid w:val="00EB4F39"/>
    <w:rsid w:val="00EB617B"/>
    <w:rsid w:val="00EB66A0"/>
    <w:rsid w:val="00EC0C3F"/>
    <w:rsid w:val="00EC1AC5"/>
    <w:rsid w:val="00EC3A29"/>
    <w:rsid w:val="00EC5F70"/>
    <w:rsid w:val="00EC606D"/>
    <w:rsid w:val="00EC6608"/>
    <w:rsid w:val="00EC6DB2"/>
    <w:rsid w:val="00ED33B9"/>
    <w:rsid w:val="00ED63C1"/>
    <w:rsid w:val="00EE0187"/>
    <w:rsid w:val="00EE07C0"/>
    <w:rsid w:val="00EE442B"/>
    <w:rsid w:val="00EE62F6"/>
    <w:rsid w:val="00EF04C8"/>
    <w:rsid w:val="00EF0FD8"/>
    <w:rsid w:val="00EF4D42"/>
    <w:rsid w:val="00EF5CD0"/>
    <w:rsid w:val="00EF7FAB"/>
    <w:rsid w:val="00F01E74"/>
    <w:rsid w:val="00F04C53"/>
    <w:rsid w:val="00F23983"/>
    <w:rsid w:val="00F25CFD"/>
    <w:rsid w:val="00F25EFA"/>
    <w:rsid w:val="00F27066"/>
    <w:rsid w:val="00F3418B"/>
    <w:rsid w:val="00F3448F"/>
    <w:rsid w:val="00F34ED9"/>
    <w:rsid w:val="00F368FF"/>
    <w:rsid w:val="00F408B0"/>
    <w:rsid w:val="00F40B8A"/>
    <w:rsid w:val="00F41D98"/>
    <w:rsid w:val="00F423EB"/>
    <w:rsid w:val="00F435A7"/>
    <w:rsid w:val="00F43C61"/>
    <w:rsid w:val="00F514DB"/>
    <w:rsid w:val="00F52807"/>
    <w:rsid w:val="00F532CE"/>
    <w:rsid w:val="00F535EE"/>
    <w:rsid w:val="00F54108"/>
    <w:rsid w:val="00F54A78"/>
    <w:rsid w:val="00F558C4"/>
    <w:rsid w:val="00F56EDA"/>
    <w:rsid w:val="00F57188"/>
    <w:rsid w:val="00F57650"/>
    <w:rsid w:val="00F615C0"/>
    <w:rsid w:val="00F61BBD"/>
    <w:rsid w:val="00F63F81"/>
    <w:rsid w:val="00F6499C"/>
    <w:rsid w:val="00F65905"/>
    <w:rsid w:val="00F660DB"/>
    <w:rsid w:val="00F66962"/>
    <w:rsid w:val="00F66F8E"/>
    <w:rsid w:val="00F67CE0"/>
    <w:rsid w:val="00F708AB"/>
    <w:rsid w:val="00F74D6A"/>
    <w:rsid w:val="00F75EE2"/>
    <w:rsid w:val="00F769DA"/>
    <w:rsid w:val="00F77BE6"/>
    <w:rsid w:val="00F80DE1"/>
    <w:rsid w:val="00F816CC"/>
    <w:rsid w:val="00F82FBF"/>
    <w:rsid w:val="00F83F9A"/>
    <w:rsid w:val="00F84E9A"/>
    <w:rsid w:val="00F86419"/>
    <w:rsid w:val="00F8722B"/>
    <w:rsid w:val="00F91D88"/>
    <w:rsid w:val="00F920E3"/>
    <w:rsid w:val="00F92700"/>
    <w:rsid w:val="00F93953"/>
    <w:rsid w:val="00FA06CA"/>
    <w:rsid w:val="00FA1AC5"/>
    <w:rsid w:val="00FA6470"/>
    <w:rsid w:val="00FA6E8E"/>
    <w:rsid w:val="00FB1BD2"/>
    <w:rsid w:val="00FB2D7B"/>
    <w:rsid w:val="00FB4224"/>
    <w:rsid w:val="00FB61C6"/>
    <w:rsid w:val="00FC1D70"/>
    <w:rsid w:val="00FC2947"/>
    <w:rsid w:val="00FC36A0"/>
    <w:rsid w:val="00FD230A"/>
    <w:rsid w:val="00FD46AD"/>
    <w:rsid w:val="00FD6578"/>
    <w:rsid w:val="00FE1B5A"/>
    <w:rsid w:val="00FE729D"/>
    <w:rsid w:val="00FF078D"/>
    <w:rsid w:val="00FF1004"/>
    <w:rsid w:val="00FF178A"/>
    <w:rsid w:val="00FF1D30"/>
    <w:rsid w:val="00FF3913"/>
    <w:rsid w:val="00FF5302"/>
    <w:rsid w:val="00FF7CBC"/>
    <w:rsid w:val="029FE07C"/>
    <w:rsid w:val="17021632"/>
    <w:rsid w:val="1B83DE7E"/>
    <w:rsid w:val="6E73E8E2"/>
    <w:rsid w:val="7B5894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A1D420"/>
  <w15:docId w15:val="{2C55E4EF-8A58-44DE-94B9-0DF3A7170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974"/>
    <w:rPr>
      <w:sz w:val="24"/>
    </w:rPr>
  </w:style>
  <w:style w:type="paragraph" w:styleId="Rubrik1">
    <w:name w:val="heading 1"/>
    <w:basedOn w:val="Normal"/>
    <w:next w:val="Normal"/>
    <w:qFormat/>
    <w:rsid w:val="001405FD"/>
    <w:pPr>
      <w:keepNext/>
      <w:suppressAutoHyphens/>
      <w:spacing w:before="400" w:after="160"/>
      <w:outlineLvl w:val="0"/>
    </w:pPr>
    <w:rPr>
      <w:b/>
      <w:kern w:val="28"/>
      <w:sz w:val="36"/>
    </w:rPr>
  </w:style>
  <w:style w:type="paragraph" w:styleId="Rubrik2">
    <w:name w:val="heading 2"/>
    <w:basedOn w:val="Rubrik1"/>
    <w:next w:val="Normal"/>
    <w:qFormat/>
    <w:rsid w:val="001405FD"/>
    <w:pPr>
      <w:spacing w:before="320" w:after="120"/>
      <w:outlineLvl w:val="1"/>
    </w:pPr>
    <w:rPr>
      <w:sz w:val="28"/>
    </w:rPr>
  </w:style>
  <w:style w:type="paragraph" w:styleId="Rubrik3">
    <w:name w:val="heading 3"/>
    <w:basedOn w:val="Normal"/>
    <w:next w:val="Normal"/>
    <w:link w:val="Rubrik3Char"/>
    <w:qFormat/>
    <w:rsid w:val="00BF59E1"/>
    <w:pPr>
      <w:keepNext/>
      <w:suppressAutoHyphens/>
      <w:spacing w:before="240" w:after="60"/>
      <w:outlineLvl w:val="2"/>
    </w:pPr>
    <w:rPr>
      <w:b/>
    </w:rPr>
  </w:style>
  <w:style w:type="paragraph" w:styleId="Rubrik4">
    <w:name w:val="heading 4"/>
    <w:basedOn w:val="Normal"/>
    <w:next w:val="Normal"/>
    <w:link w:val="Rubrik4Char1"/>
    <w:qFormat/>
    <w:rsid w:val="001405FD"/>
    <w:pPr>
      <w:keepNext/>
      <w:spacing w:before="240" w:after="60"/>
      <w:outlineLvl w:val="3"/>
    </w:pPr>
    <w:rPr>
      <w:i/>
    </w:rPr>
  </w:style>
  <w:style w:type="paragraph" w:styleId="Rubrik5">
    <w:name w:val="heading 5"/>
    <w:basedOn w:val="Rubrik4"/>
    <w:next w:val="Normal"/>
    <w:qFormat/>
    <w:rsid w:val="001405FD"/>
    <w:pPr>
      <w:outlineLvl w:val="4"/>
    </w:pPr>
  </w:style>
  <w:style w:type="paragraph" w:styleId="Rubrik6">
    <w:name w:val="heading 6"/>
    <w:basedOn w:val="Rubrik4"/>
    <w:next w:val="Normal"/>
    <w:qFormat/>
    <w:rsid w:val="001405FD"/>
    <w:pPr>
      <w:outlineLvl w:val="5"/>
    </w:pPr>
  </w:style>
  <w:style w:type="paragraph" w:styleId="Rubrik7">
    <w:name w:val="heading 7"/>
    <w:basedOn w:val="Rubrik4"/>
    <w:next w:val="Normal"/>
    <w:qFormat/>
    <w:rsid w:val="001405FD"/>
    <w:pPr>
      <w:outlineLvl w:val="6"/>
    </w:pPr>
  </w:style>
  <w:style w:type="paragraph" w:styleId="Rubrik8">
    <w:name w:val="heading 8"/>
    <w:basedOn w:val="Rubrik4"/>
    <w:next w:val="Normal"/>
    <w:qFormat/>
    <w:rsid w:val="001405FD"/>
    <w:pPr>
      <w:outlineLvl w:val="7"/>
    </w:pPr>
  </w:style>
  <w:style w:type="paragraph" w:styleId="Rubrik9">
    <w:name w:val="heading 9"/>
    <w:basedOn w:val="Normal"/>
    <w:next w:val="Normal"/>
    <w:qFormat/>
    <w:rsid w:val="001405FD"/>
    <w:pPr>
      <w:spacing w:before="240" w:after="60"/>
      <w:outlineLvl w:val="8"/>
    </w:pPr>
    <w:rPr>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Fotnotsreferens">
    <w:name w:val="footnote reference"/>
    <w:rsid w:val="001405FD"/>
    <w:rPr>
      <w:vertAlign w:val="superscript"/>
    </w:rPr>
  </w:style>
  <w:style w:type="character" w:styleId="Sidnummer">
    <w:name w:val="page number"/>
    <w:basedOn w:val="Standardstycketeckensnitt"/>
    <w:rsid w:val="001405FD"/>
  </w:style>
  <w:style w:type="paragraph" w:styleId="Sidhuvud">
    <w:name w:val="header"/>
    <w:rsid w:val="001405FD"/>
    <w:pPr>
      <w:tabs>
        <w:tab w:val="center" w:pos="4536"/>
        <w:tab w:val="right" w:pos="9072"/>
      </w:tabs>
    </w:pPr>
    <w:rPr>
      <w:rFonts w:ascii="Arial" w:hAnsi="Arial"/>
      <w:noProof/>
    </w:rPr>
  </w:style>
  <w:style w:type="paragraph" w:styleId="Sidfot">
    <w:name w:val="footer"/>
    <w:basedOn w:val="Normal"/>
    <w:rsid w:val="001405FD"/>
    <w:pPr>
      <w:tabs>
        <w:tab w:val="center" w:pos="4536"/>
        <w:tab w:val="right" w:pos="9072"/>
      </w:tabs>
      <w:spacing w:before="300"/>
      <w:jc w:val="center"/>
    </w:pPr>
  </w:style>
  <w:style w:type="paragraph" w:styleId="Beskrivning">
    <w:name w:val="caption"/>
    <w:basedOn w:val="Normal"/>
    <w:next w:val="Normal"/>
    <w:qFormat/>
    <w:rsid w:val="001405FD"/>
    <w:pPr>
      <w:keepNext/>
      <w:keepLines/>
      <w:tabs>
        <w:tab w:val="left" w:pos="1134"/>
      </w:tabs>
      <w:suppressAutoHyphens/>
      <w:spacing w:before="320" w:after="80"/>
      <w:ind w:left="1134" w:hanging="1134"/>
    </w:pPr>
    <w:rPr>
      <w:b/>
      <w:sz w:val="22"/>
    </w:rPr>
  </w:style>
  <w:style w:type="paragraph" w:styleId="Innehll1">
    <w:name w:val="toc 1"/>
    <w:basedOn w:val="Normal"/>
    <w:next w:val="Normal"/>
    <w:autoRedefine/>
    <w:rsid w:val="001405FD"/>
    <w:pPr>
      <w:tabs>
        <w:tab w:val="right" w:pos="10206"/>
      </w:tabs>
      <w:spacing w:before="160"/>
    </w:pPr>
    <w:rPr>
      <w:b/>
      <w:noProof/>
    </w:rPr>
  </w:style>
  <w:style w:type="paragraph" w:styleId="Innehll2">
    <w:name w:val="toc 2"/>
    <w:basedOn w:val="Normal"/>
    <w:next w:val="Normal"/>
    <w:autoRedefine/>
    <w:rsid w:val="001405FD"/>
    <w:pPr>
      <w:tabs>
        <w:tab w:val="left" w:pos="1134"/>
        <w:tab w:val="right" w:leader="dot" w:pos="7229"/>
      </w:tabs>
      <w:spacing w:before="120"/>
      <w:ind w:left="1134" w:hanging="708"/>
    </w:pPr>
    <w:rPr>
      <w:sz w:val="22"/>
    </w:rPr>
  </w:style>
  <w:style w:type="paragraph" w:styleId="Innehll3">
    <w:name w:val="toc 3"/>
    <w:basedOn w:val="Normal"/>
    <w:next w:val="Normal"/>
    <w:autoRedefine/>
    <w:rsid w:val="001405FD"/>
    <w:pPr>
      <w:tabs>
        <w:tab w:val="left" w:pos="1134"/>
        <w:tab w:val="right" w:leader="dot" w:pos="7229"/>
      </w:tabs>
      <w:spacing w:before="30"/>
      <w:ind w:left="1134" w:hanging="709"/>
    </w:pPr>
    <w:rPr>
      <w:i/>
      <w:sz w:val="22"/>
    </w:rPr>
  </w:style>
  <w:style w:type="paragraph" w:customStyle="1" w:styleId="tabell">
    <w:name w:val="tabell"/>
    <w:basedOn w:val="Normal"/>
    <w:rsid w:val="001405FD"/>
    <w:pPr>
      <w:keepNext/>
      <w:keepLines/>
      <w:suppressAutoHyphens/>
      <w:spacing w:before="30" w:after="30"/>
    </w:pPr>
    <w:rPr>
      <w:rFonts w:ascii="Arial" w:hAnsi="Arial"/>
      <w:sz w:val="20"/>
    </w:rPr>
  </w:style>
  <w:style w:type="paragraph" w:customStyle="1" w:styleId="tabellrubrik">
    <w:name w:val="tabellrubrik"/>
    <w:basedOn w:val="Beskrivning"/>
    <w:next w:val="Normal"/>
    <w:link w:val="tabellrubrikChar1"/>
    <w:rsid w:val="003C4AAC"/>
    <w:pPr>
      <w:ind w:left="0" w:firstLine="0"/>
    </w:pPr>
  </w:style>
  <w:style w:type="paragraph" w:customStyle="1" w:styleId="anslagstabell">
    <w:name w:val="anslagstabell"/>
    <w:basedOn w:val="Normal"/>
    <w:link w:val="anslagstabellChar"/>
    <w:rsid w:val="005B291F"/>
    <w:pPr>
      <w:keepNext/>
      <w:spacing w:before="60"/>
    </w:pPr>
    <w:rPr>
      <w:rFonts w:ascii="Arial" w:hAnsi="Arial"/>
      <w:sz w:val="18"/>
    </w:rPr>
  </w:style>
  <w:style w:type="paragraph" w:customStyle="1" w:styleId="Politikomrde">
    <w:name w:val="Politikområde"/>
    <w:basedOn w:val="Anslagsnamn"/>
    <w:rsid w:val="001405FD"/>
    <w:pPr>
      <w:pBdr>
        <w:bottom w:val="none" w:sz="0" w:space="0" w:color="auto"/>
      </w:pBdr>
      <w:spacing w:before="560" w:after="0"/>
      <w:ind w:right="0"/>
    </w:pPr>
    <w:rPr>
      <w:rFonts w:ascii="Times New Roman" w:hAnsi="Times New Roman"/>
      <w:i/>
      <w:sz w:val="36"/>
    </w:rPr>
  </w:style>
  <w:style w:type="paragraph" w:customStyle="1" w:styleId="Anslagsnamn">
    <w:name w:val="Anslagsnamn"/>
    <w:basedOn w:val="Normal"/>
    <w:next w:val="avsnittsrubrik"/>
    <w:rsid w:val="001405FD"/>
    <w:pPr>
      <w:keepNext/>
      <w:pBdr>
        <w:bottom w:val="double" w:sz="6" w:space="1" w:color="auto"/>
      </w:pBdr>
      <w:tabs>
        <w:tab w:val="left" w:pos="1134"/>
      </w:tabs>
      <w:spacing w:before="480" w:after="120"/>
      <w:ind w:left="1134" w:right="-1418" w:hanging="1134"/>
    </w:pPr>
    <w:rPr>
      <w:rFonts w:ascii="Arial" w:hAnsi="Arial"/>
      <w:b/>
      <w:sz w:val="28"/>
    </w:rPr>
  </w:style>
  <w:style w:type="paragraph" w:customStyle="1" w:styleId="avsnittsrubrik">
    <w:name w:val="avsnittsrubrik"/>
    <w:next w:val="Normal"/>
    <w:rsid w:val="00D0272F"/>
    <w:pPr>
      <w:keepNext/>
      <w:keepLines/>
      <w:tabs>
        <w:tab w:val="left" w:pos="1418"/>
      </w:tabs>
      <w:spacing w:before="360" w:after="80"/>
    </w:pPr>
    <w:rPr>
      <w:rFonts w:ascii="Arial" w:hAnsi="Arial"/>
      <w:b/>
      <w:noProof/>
      <w:sz w:val="22"/>
    </w:rPr>
  </w:style>
  <w:style w:type="paragraph" w:styleId="Fotnotstext">
    <w:name w:val="footnote text"/>
    <w:basedOn w:val="Normal"/>
    <w:next w:val="Normal"/>
    <w:rsid w:val="001405FD"/>
    <w:pPr>
      <w:keepLines/>
      <w:tabs>
        <w:tab w:val="left" w:pos="227"/>
      </w:tabs>
      <w:spacing w:before="80"/>
      <w:ind w:left="227" w:hanging="227"/>
    </w:pPr>
    <w:rPr>
      <w:sz w:val="20"/>
    </w:rPr>
  </w:style>
  <w:style w:type="paragraph" w:customStyle="1" w:styleId="tabellnot">
    <w:name w:val="tabellnot"/>
    <w:link w:val="tabellnotChar"/>
    <w:rsid w:val="001405FD"/>
    <w:pPr>
      <w:tabs>
        <w:tab w:val="left" w:pos="170"/>
      </w:tabs>
      <w:spacing w:before="80"/>
      <w:ind w:left="170" w:hanging="170"/>
    </w:pPr>
    <w:rPr>
      <w:rFonts w:ascii="Arial" w:hAnsi="Arial"/>
      <w:noProof/>
      <w:sz w:val="16"/>
    </w:rPr>
  </w:style>
  <w:style w:type="paragraph" w:customStyle="1" w:styleId="Utgiftsomrde">
    <w:name w:val="Utgiftsområde"/>
    <w:basedOn w:val="Normal"/>
    <w:rsid w:val="00F93953"/>
    <w:pPr>
      <w:keepNext/>
      <w:keepLines/>
      <w:widowControl w:val="0"/>
      <w:spacing w:before="500"/>
      <w:outlineLvl w:val="0"/>
    </w:pPr>
    <w:rPr>
      <w:b/>
      <w:i/>
      <w:sz w:val="28"/>
    </w:rPr>
  </w:style>
  <w:style w:type="paragraph" w:styleId="Figurfrteckning">
    <w:name w:val="table of figures"/>
    <w:basedOn w:val="Normal"/>
    <w:next w:val="Normal"/>
    <w:semiHidden/>
    <w:rsid w:val="001405FD"/>
    <w:pPr>
      <w:ind w:left="480" w:hanging="480"/>
    </w:pPr>
  </w:style>
  <w:style w:type="paragraph" w:styleId="Index1">
    <w:name w:val="index 1"/>
    <w:basedOn w:val="Normal"/>
    <w:next w:val="Normal"/>
    <w:autoRedefine/>
    <w:semiHidden/>
    <w:rsid w:val="001405FD"/>
    <w:pPr>
      <w:ind w:left="240" w:hanging="240"/>
    </w:pPr>
  </w:style>
  <w:style w:type="paragraph" w:styleId="Index2">
    <w:name w:val="index 2"/>
    <w:basedOn w:val="Normal"/>
    <w:next w:val="Normal"/>
    <w:autoRedefine/>
    <w:semiHidden/>
    <w:rsid w:val="001405FD"/>
    <w:pPr>
      <w:ind w:left="480" w:hanging="240"/>
    </w:pPr>
  </w:style>
  <w:style w:type="paragraph" w:styleId="Index3">
    <w:name w:val="index 3"/>
    <w:basedOn w:val="Normal"/>
    <w:next w:val="Normal"/>
    <w:autoRedefine/>
    <w:semiHidden/>
    <w:rsid w:val="001405FD"/>
    <w:pPr>
      <w:ind w:left="720" w:hanging="240"/>
    </w:pPr>
  </w:style>
  <w:style w:type="paragraph" w:styleId="Index4">
    <w:name w:val="index 4"/>
    <w:basedOn w:val="Normal"/>
    <w:next w:val="Normal"/>
    <w:autoRedefine/>
    <w:semiHidden/>
    <w:rsid w:val="001405FD"/>
    <w:pPr>
      <w:ind w:left="960" w:hanging="240"/>
    </w:pPr>
  </w:style>
  <w:style w:type="paragraph" w:styleId="Index5">
    <w:name w:val="index 5"/>
    <w:basedOn w:val="Normal"/>
    <w:next w:val="Normal"/>
    <w:autoRedefine/>
    <w:semiHidden/>
    <w:rsid w:val="001405FD"/>
    <w:pPr>
      <w:ind w:left="1200" w:hanging="240"/>
    </w:pPr>
  </w:style>
  <w:style w:type="paragraph" w:styleId="Index6">
    <w:name w:val="index 6"/>
    <w:basedOn w:val="Normal"/>
    <w:next w:val="Normal"/>
    <w:autoRedefine/>
    <w:semiHidden/>
    <w:rsid w:val="001405FD"/>
    <w:pPr>
      <w:ind w:left="1440" w:hanging="240"/>
    </w:pPr>
  </w:style>
  <w:style w:type="paragraph" w:styleId="Index7">
    <w:name w:val="index 7"/>
    <w:basedOn w:val="Normal"/>
    <w:next w:val="Normal"/>
    <w:autoRedefine/>
    <w:semiHidden/>
    <w:rsid w:val="001405FD"/>
    <w:pPr>
      <w:ind w:left="1680" w:hanging="240"/>
    </w:pPr>
  </w:style>
  <w:style w:type="paragraph" w:styleId="Index8">
    <w:name w:val="index 8"/>
    <w:basedOn w:val="Normal"/>
    <w:next w:val="Normal"/>
    <w:autoRedefine/>
    <w:semiHidden/>
    <w:rsid w:val="001405FD"/>
    <w:pPr>
      <w:ind w:left="1920" w:hanging="240"/>
    </w:pPr>
  </w:style>
  <w:style w:type="paragraph" w:styleId="Index9">
    <w:name w:val="index 9"/>
    <w:basedOn w:val="Normal"/>
    <w:next w:val="Normal"/>
    <w:autoRedefine/>
    <w:semiHidden/>
    <w:rsid w:val="001405FD"/>
    <w:pPr>
      <w:ind w:left="2160" w:hanging="240"/>
    </w:pPr>
  </w:style>
  <w:style w:type="paragraph" w:styleId="Indexrubrik">
    <w:name w:val="index heading"/>
    <w:basedOn w:val="Normal"/>
    <w:next w:val="Index1"/>
    <w:semiHidden/>
    <w:rsid w:val="001405FD"/>
    <w:rPr>
      <w:rFonts w:ascii="Arial" w:hAnsi="Arial"/>
      <w:b/>
    </w:rPr>
  </w:style>
  <w:style w:type="paragraph" w:styleId="Innehll4">
    <w:name w:val="toc 4"/>
    <w:basedOn w:val="Innehll1"/>
    <w:next w:val="Normal"/>
    <w:autoRedefine/>
    <w:rsid w:val="001405FD"/>
    <w:pPr>
      <w:tabs>
        <w:tab w:val="left" w:pos="964"/>
        <w:tab w:val="right" w:leader="dot" w:pos="7230"/>
      </w:tabs>
    </w:pPr>
  </w:style>
  <w:style w:type="paragraph" w:styleId="Innehll5">
    <w:name w:val="toc 5"/>
    <w:basedOn w:val="Normal"/>
    <w:next w:val="Normal"/>
    <w:autoRedefine/>
    <w:semiHidden/>
    <w:rsid w:val="001405FD"/>
    <w:pPr>
      <w:ind w:left="960"/>
    </w:pPr>
  </w:style>
  <w:style w:type="paragraph" w:styleId="Innehll6">
    <w:name w:val="toc 6"/>
    <w:basedOn w:val="Normal"/>
    <w:next w:val="Normal"/>
    <w:autoRedefine/>
    <w:semiHidden/>
    <w:rsid w:val="001405FD"/>
    <w:pPr>
      <w:ind w:left="1200"/>
    </w:pPr>
  </w:style>
  <w:style w:type="paragraph" w:styleId="Innehll7">
    <w:name w:val="toc 7"/>
    <w:basedOn w:val="Normal"/>
    <w:next w:val="Normal"/>
    <w:autoRedefine/>
    <w:semiHidden/>
    <w:rsid w:val="001405FD"/>
    <w:pPr>
      <w:ind w:left="1440"/>
    </w:pPr>
  </w:style>
  <w:style w:type="paragraph" w:styleId="Innehll8">
    <w:name w:val="toc 8"/>
    <w:basedOn w:val="Normal"/>
    <w:next w:val="Normal"/>
    <w:autoRedefine/>
    <w:semiHidden/>
    <w:rsid w:val="001405FD"/>
    <w:pPr>
      <w:ind w:left="1680"/>
    </w:pPr>
  </w:style>
  <w:style w:type="paragraph" w:styleId="Innehll9">
    <w:name w:val="toc 9"/>
    <w:basedOn w:val="Normal"/>
    <w:next w:val="Normal"/>
    <w:autoRedefine/>
    <w:semiHidden/>
    <w:rsid w:val="001405FD"/>
    <w:pPr>
      <w:ind w:left="1920"/>
    </w:pPr>
  </w:style>
  <w:style w:type="paragraph" w:styleId="Kommentarer">
    <w:name w:val="annotation text"/>
    <w:basedOn w:val="Normal"/>
    <w:semiHidden/>
    <w:rsid w:val="001405FD"/>
    <w:rPr>
      <w:sz w:val="20"/>
    </w:rPr>
  </w:style>
  <w:style w:type="paragraph" w:styleId="Slutkommentar">
    <w:name w:val="endnote text"/>
    <w:basedOn w:val="Normal"/>
    <w:semiHidden/>
    <w:rsid w:val="001405FD"/>
    <w:rPr>
      <w:sz w:val="20"/>
    </w:rPr>
  </w:style>
  <w:style w:type="paragraph" w:customStyle="1" w:styleId="anslagspostrubrik">
    <w:name w:val="anslagspostrubrik"/>
    <w:basedOn w:val="Normal"/>
    <w:next w:val="Normal"/>
    <w:rsid w:val="00856ECA"/>
    <w:pPr>
      <w:keepNext/>
      <w:tabs>
        <w:tab w:val="left" w:pos="1418"/>
        <w:tab w:val="left" w:pos="2268"/>
        <w:tab w:val="left" w:pos="3402"/>
        <w:tab w:val="left" w:pos="4536"/>
        <w:tab w:val="left" w:pos="5670"/>
        <w:tab w:val="left" w:pos="6804"/>
        <w:tab w:val="left" w:pos="7938"/>
      </w:tabs>
      <w:suppressAutoHyphens/>
      <w:spacing w:before="320" w:after="160"/>
      <w:ind w:left="1418" w:hanging="1418"/>
    </w:pPr>
    <w:rPr>
      <w:rFonts w:ascii="Arial" w:hAnsi="Arial"/>
      <w:b/>
    </w:rPr>
  </w:style>
  <w:style w:type="paragraph" w:styleId="Ballongtext">
    <w:name w:val="Balloon Text"/>
    <w:basedOn w:val="Normal"/>
    <w:semiHidden/>
    <w:rsid w:val="001405FD"/>
    <w:rPr>
      <w:rFonts w:ascii="Tahoma" w:hAnsi="Tahoma" w:cs="Tahoma"/>
      <w:sz w:val="16"/>
      <w:szCs w:val="16"/>
    </w:rPr>
  </w:style>
  <w:style w:type="paragraph" w:customStyle="1" w:styleId="Bilagerubrikmm">
    <w:name w:val="Bilagerubrik m m"/>
    <w:basedOn w:val="Politikomrde"/>
    <w:rsid w:val="001405FD"/>
    <w:pPr>
      <w:spacing w:after="400"/>
      <w:ind w:left="0" w:firstLine="0"/>
    </w:pPr>
  </w:style>
  <w:style w:type="paragraph" w:customStyle="1" w:styleId="anslagstabell-hgerstlld">
    <w:name w:val="anslagstabell - högerställd"/>
    <w:basedOn w:val="anslagstabell"/>
    <w:link w:val="anslagstabell-hgerstlldChar"/>
    <w:rsid w:val="008958A0"/>
    <w:pPr>
      <w:jc w:val="right"/>
    </w:pPr>
    <w:rPr>
      <w:szCs w:val="18"/>
    </w:rPr>
  </w:style>
  <w:style w:type="paragraph" w:customStyle="1" w:styleId="anslagstabelll-huvudfet">
    <w:name w:val="anslagstabelll - huvud fet"/>
    <w:basedOn w:val="anslagstabell-huvud"/>
    <w:link w:val="anslagstabelll-huvudfetChar"/>
    <w:rsid w:val="006646A8"/>
    <w:pPr>
      <w:keepNext w:val="0"/>
    </w:pPr>
    <w:rPr>
      <w:b/>
      <w:sz w:val="18"/>
    </w:rPr>
  </w:style>
  <w:style w:type="paragraph" w:customStyle="1" w:styleId="anslagstabell-huvud">
    <w:name w:val="anslagstabell - huvud"/>
    <w:basedOn w:val="anslagstabell"/>
    <w:rsid w:val="005B291F"/>
    <w:pPr>
      <w:keepLines/>
    </w:pPr>
    <w:rPr>
      <w:sz w:val="16"/>
    </w:rPr>
  </w:style>
  <w:style w:type="table" w:styleId="Tabellrutnt">
    <w:name w:val="Table Grid"/>
    <w:basedOn w:val="Normaltabell"/>
    <w:rsid w:val="003E7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lagstabellChar">
    <w:name w:val="anslagstabell Char"/>
    <w:link w:val="anslagstabell"/>
    <w:rsid w:val="007753FF"/>
    <w:rPr>
      <w:rFonts w:ascii="Arial" w:hAnsi="Arial"/>
      <w:sz w:val="18"/>
      <w:lang w:val="sv-SE" w:eastAsia="sv-SE" w:bidi="ar-SA"/>
    </w:rPr>
  </w:style>
  <w:style w:type="character" w:customStyle="1" w:styleId="versikt-fet">
    <w:name w:val="Översikt-fet"/>
    <w:rsid w:val="006646A8"/>
    <w:rPr>
      <w:rFonts w:ascii="Arial" w:hAnsi="Arial"/>
      <w:b/>
      <w:sz w:val="20"/>
    </w:rPr>
  </w:style>
  <w:style w:type="paragraph" w:customStyle="1" w:styleId="anslagstabellhngande1">
    <w:name w:val="anslagstabell hängande 1"/>
    <w:aliases w:val="3"/>
    <w:basedOn w:val="anslagstabell"/>
    <w:rsid w:val="009E0AA4"/>
    <w:pPr>
      <w:ind w:left="737" w:hanging="737"/>
    </w:pPr>
  </w:style>
  <w:style w:type="character" w:customStyle="1" w:styleId="tabellnotChar">
    <w:name w:val="tabellnot Char"/>
    <w:link w:val="tabellnot"/>
    <w:rsid w:val="00EF0FD8"/>
    <w:rPr>
      <w:rFonts w:ascii="Arial" w:hAnsi="Arial"/>
      <w:noProof/>
      <w:sz w:val="16"/>
      <w:lang w:val="sv-SE" w:eastAsia="sv-SE" w:bidi="ar-SA"/>
    </w:rPr>
  </w:style>
  <w:style w:type="character" w:customStyle="1" w:styleId="Rubrik3Char">
    <w:name w:val="Rubrik 3 Char"/>
    <w:link w:val="Rubrik3"/>
    <w:rsid w:val="00E25003"/>
    <w:rPr>
      <w:b/>
      <w:sz w:val="24"/>
      <w:lang w:val="sv-SE" w:eastAsia="sv-SE" w:bidi="ar-SA"/>
    </w:rPr>
  </w:style>
  <w:style w:type="character" w:customStyle="1" w:styleId="Rubrik4Char1">
    <w:name w:val="Rubrik 4 Char1"/>
    <w:link w:val="Rubrik4"/>
    <w:rsid w:val="00E25003"/>
    <w:rPr>
      <w:i/>
      <w:sz w:val="24"/>
      <w:lang w:val="sv-SE" w:eastAsia="sv-SE" w:bidi="ar-SA"/>
    </w:rPr>
  </w:style>
  <w:style w:type="character" w:customStyle="1" w:styleId="tabellrubrikChar1">
    <w:name w:val="tabellrubrik Char1"/>
    <w:link w:val="tabellrubrik"/>
    <w:rsid w:val="00E25003"/>
    <w:rPr>
      <w:b/>
      <w:sz w:val="22"/>
      <w:lang w:val="sv-SE" w:eastAsia="sv-SE" w:bidi="ar-SA"/>
    </w:rPr>
  </w:style>
  <w:style w:type="paragraph" w:customStyle="1" w:styleId="Bildplats">
    <w:name w:val="Bildplats"/>
    <w:basedOn w:val="Normal"/>
    <w:rsid w:val="00E25003"/>
    <w:pPr>
      <w:spacing w:after="120"/>
      <w:ind w:left="-113"/>
    </w:pPr>
    <w:rPr>
      <w:sz w:val="22"/>
    </w:rPr>
  </w:style>
  <w:style w:type="table" w:styleId="Enkeltabell1">
    <w:name w:val="Table Simple 1"/>
    <w:basedOn w:val="Normaltabell"/>
    <w:rsid w:val="005A22A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BU-tabell-grund">
    <w:name w:val="BU-tabell-grund"/>
    <w:basedOn w:val="tabell"/>
    <w:link w:val="BU-tabell-grundChar"/>
    <w:rsid w:val="005A22A3"/>
    <w:pPr>
      <w:spacing w:before="20" w:after="20"/>
    </w:pPr>
    <w:rPr>
      <w:iCs/>
      <w:sz w:val="18"/>
      <w:szCs w:val="18"/>
    </w:rPr>
  </w:style>
  <w:style w:type="character" w:customStyle="1" w:styleId="BU-tabell-grundChar">
    <w:name w:val="BU-tabell-grund Char"/>
    <w:link w:val="BU-tabell-grund"/>
    <w:rsid w:val="005A22A3"/>
    <w:rPr>
      <w:rFonts w:ascii="Arial" w:hAnsi="Arial"/>
      <w:iCs/>
      <w:sz w:val="18"/>
      <w:szCs w:val="18"/>
      <w:lang w:val="sv-SE" w:eastAsia="sv-SE" w:bidi="ar-SA"/>
    </w:rPr>
  </w:style>
  <w:style w:type="paragraph" w:styleId="Brdtext">
    <w:name w:val="Body Text"/>
    <w:basedOn w:val="Normal"/>
    <w:rsid w:val="005A22A3"/>
    <w:pPr>
      <w:tabs>
        <w:tab w:val="left" w:pos="0"/>
        <w:tab w:val="left" w:pos="397"/>
        <w:tab w:val="left" w:pos="680"/>
        <w:tab w:val="left" w:pos="1134"/>
        <w:tab w:val="left" w:pos="2268"/>
        <w:tab w:val="left" w:pos="3402"/>
        <w:tab w:val="left" w:pos="4536"/>
        <w:tab w:val="left" w:pos="5670"/>
        <w:tab w:val="left" w:pos="6804"/>
        <w:tab w:val="left" w:pos="7938"/>
      </w:tabs>
    </w:pPr>
    <w:rPr>
      <w:color w:val="FF0000"/>
    </w:rPr>
  </w:style>
  <w:style w:type="paragraph" w:customStyle="1" w:styleId="Default">
    <w:name w:val="Default"/>
    <w:rsid w:val="005A22A3"/>
    <w:pPr>
      <w:autoSpaceDE w:val="0"/>
      <w:autoSpaceDN w:val="0"/>
      <w:adjustRightInd w:val="0"/>
    </w:pPr>
    <w:rPr>
      <w:color w:val="000000"/>
      <w:sz w:val="24"/>
      <w:szCs w:val="24"/>
    </w:rPr>
  </w:style>
  <w:style w:type="character" w:styleId="Hyperlnk">
    <w:name w:val="Hyperlink"/>
    <w:rsid w:val="005A22A3"/>
    <w:rPr>
      <w:color w:val="0000FF"/>
      <w:u w:val="single"/>
    </w:rPr>
  </w:style>
  <w:style w:type="character" w:customStyle="1" w:styleId="41002637">
    <w:name w:val="41002637"/>
    <w:semiHidden/>
    <w:rsid w:val="005A22A3"/>
    <w:rPr>
      <w:rFonts w:ascii="Arial" w:hAnsi="Arial" w:cs="Arial"/>
      <w:color w:val="auto"/>
      <w:sz w:val="20"/>
      <w:szCs w:val="20"/>
    </w:rPr>
  </w:style>
  <w:style w:type="character" w:customStyle="1" w:styleId="anslagstabelll-huvudfetChar">
    <w:name w:val="anslagstabelll - huvud fet Char"/>
    <w:link w:val="anslagstabelll-huvudfet"/>
    <w:rsid w:val="00474CD9"/>
    <w:rPr>
      <w:rFonts w:ascii="Arial" w:hAnsi="Arial"/>
      <w:b/>
      <w:sz w:val="18"/>
      <w:lang w:val="sv-SE" w:eastAsia="sv-SE" w:bidi="ar-SA"/>
    </w:rPr>
  </w:style>
  <w:style w:type="character" w:customStyle="1" w:styleId="Rubrik4Char">
    <w:name w:val="Rubrik 4 Char"/>
    <w:rsid w:val="005B0D65"/>
    <w:rPr>
      <w:i/>
      <w:sz w:val="24"/>
      <w:lang w:val="sv-SE" w:eastAsia="sv-SE" w:bidi="ar-SA"/>
    </w:rPr>
  </w:style>
  <w:style w:type="character" w:styleId="Betoning">
    <w:name w:val="Emphasis"/>
    <w:qFormat/>
    <w:rsid w:val="00424896"/>
    <w:rPr>
      <w:i/>
      <w:iCs/>
    </w:rPr>
  </w:style>
  <w:style w:type="character" w:styleId="AnvndHyperlnk">
    <w:name w:val="FollowedHyperlink"/>
    <w:rsid w:val="00370D93"/>
    <w:rPr>
      <w:color w:val="800000"/>
      <w:u w:val="single"/>
    </w:rPr>
  </w:style>
  <w:style w:type="character" w:customStyle="1" w:styleId="anslagstabell-hgerstlldChar">
    <w:name w:val="anslagstabell - högerställd Char"/>
    <w:link w:val="anslagstabell-hgerstlld"/>
    <w:rsid w:val="00970288"/>
    <w:rPr>
      <w:rFonts w:ascii="Arial" w:hAnsi="Arial"/>
      <w:sz w:val="18"/>
      <w:szCs w:val="18"/>
      <w:lang w:val="sv-SE" w:eastAsia="sv-SE" w:bidi="ar-SA"/>
    </w:rPr>
  </w:style>
  <w:style w:type="paragraph" w:styleId="Adress-brev">
    <w:name w:val="envelope address"/>
    <w:basedOn w:val="Normal"/>
    <w:rsid w:val="00894B4B"/>
    <w:pPr>
      <w:framePr w:w="7938" w:h="1984" w:hRule="exact" w:hSpace="141" w:wrap="auto" w:hAnchor="page" w:xAlign="center" w:yAlign="bottom"/>
      <w:ind w:left="2880"/>
    </w:pPr>
    <w:rPr>
      <w:rFonts w:ascii="Arial" w:hAnsi="Arial" w:cs="Arial"/>
      <w:szCs w:val="24"/>
    </w:rPr>
  </w:style>
  <w:style w:type="paragraph" w:styleId="Anteckningsrubrik">
    <w:name w:val="Note Heading"/>
    <w:basedOn w:val="Normal"/>
    <w:next w:val="Normal"/>
    <w:rsid w:val="00894B4B"/>
  </w:style>
  <w:style w:type="paragraph" w:styleId="Avslutandetext">
    <w:name w:val="Closing"/>
    <w:basedOn w:val="Normal"/>
    <w:rsid w:val="00894B4B"/>
    <w:pPr>
      <w:ind w:left="4252"/>
    </w:pPr>
  </w:style>
  <w:style w:type="paragraph" w:styleId="Avsndaradress-brev">
    <w:name w:val="envelope return"/>
    <w:basedOn w:val="Normal"/>
    <w:rsid w:val="00894B4B"/>
    <w:rPr>
      <w:rFonts w:ascii="Arial" w:hAnsi="Arial" w:cs="Arial"/>
      <w:sz w:val="20"/>
    </w:rPr>
  </w:style>
  <w:style w:type="paragraph" w:styleId="Brdtext2">
    <w:name w:val="Body Text 2"/>
    <w:basedOn w:val="Normal"/>
    <w:rsid w:val="00894B4B"/>
    <w:pPr>
      <w:spacing w:after="120" w:line="480" w:lineRule="auto"/>
    </w:pPr>
  </w:style>
  <w:style w:type="paragraph" w:styleId="Brdtext3">
    <w:name w:val="Body Text 3"/>
    <w:basedOn w:val="Normal"/>
    <w:rsid w:val="00894B4B"/>
    <w:pPr>
      <w:spacing w:after="120"/>
    </w:pPr>
    <w:rPr>
      <w:sz w:val="16"/>
      <w:szCs w:val="16"/>
    </w:rPr>
  </w:style>
  <w:style w:type="paragraph" w:styleId="Brdtextmedfrstaindrag">
    <w:name w:val="Body Text First Indent"/>
    <w:basedOn w:val="Brdtext"/>
    <w:rsid w:val="00894B4B"/>
    <w:pPr>
      <w:tabs>
        <w:tab w:val="clear" w:pos="0"/>
        <w:tab w:val="clear" w:pos="397"/>
        <w:tab w:val="clear" w:pos="680"/>
        <w:tab w:val="clear" w:pos="1134"/>
        <w:tab w:val="clear" w:pos="2268"/>
        <w:tab w:val="clear" w:pos="3402"/>
        <w:tab w:val="clear" w:pos="4536"/>
        <w:tab w:val="clear" w:pos="5670"/>
        <w:tab w:val="clear" w:pos="6804"/>
        <w:tab w:val="clear" w:pos="7938"/>
      </w:tabs>
      <w:spacing w:after="120"/>
      <w:ind w:firstLine="210"/>
    </w:pPr>
    <w:rPr>
      <w:color w:val="auto"/>
    </w:rPr>
  </w:style>
  <w:style w:type="paragraph" w:styleId="Brdtextmedindrag">
    <w:name w:val="Body Text Indent"/>
    <w:basedOn w:val="Normal"/>
    <w:rsid w:val="00894B4B"/>
    <w:pPr>
      <w:spacing w:after="120"/>
      <w:ind w:left="283"/>
    </w:pPr>
  </w:style>
  <w:style w:type="paragraph" w:styleId="Brdtextmedfrstaindrag2">
    <w:name w:val="Body Text First Indent 2"/>
    <w:basedOn w:val="Brdtextmedindrag"/>
    <w:rsid w:val="00894B4B"/>
    <w:pPr>
      <w:ind w:firstLine="210"/>
    </w:pPr>
  </w:style>
  <w:style w:type="paragraph" w:styleId="Brdtextmedindrag2">
    <w:name w:val="Body Text Indent 2"/>
    <w:basedOn w:val="Normal"/>
    <w:rsid w:val="00894B4B"/>
    <w:pPr>
      <w:spacing w:after="120" w:line="480" w:lineRule="auto"/>
      <w:ind w:left="283"/>
    </w:pPr>
  </w:style>
  <w:style w:type="paragraph" w:styleId="Brdtextmedindrag3">
    <w:name w:val="Body Text Indent 3"/>
    <w:basedOn w:val="Normal"/>
    <w:rsid w:val="00894B4B"/>
    <w:pPr>
      <w:spacing w:after="120"/>
      <w:ind w:left="283"/>
    </w:pPr>
    <w:rPr>
      <w:sz w:val="16"/>
      <w:szCs w:val="16"/>
    </w:rPr>
  </w:style>
  <w:style w:type="paragraph" w:styleId="Citatfrteckning">
    <w:name w:val="table of authorities"/>
    <w:basedOn w:val="Normal"/>
    <w:next w:val="Normal"/>
    <w:semiHidden/>
    <w:rsid w:val="00894B4B"/>
    <w:pPr>
      <w:ind w:left="240" w:hanging="240"/>
    </w:pPr>
  </w:style>
  <w:style w:type="paragraph" w:styleId="Citatfrteckningsrubrik">
    <w:name w:val="toa heading"/>
    <w:basedOn w:val="Normal"/>
    <w:next w:val="Normal"/>
    <w:semiHidden/>
    <w:rsid w:val="00894B4B"/>
    <w:pPr>
      <w:spacing w:before="120"/>
    </w:pPr>
    <w:rPr>
      <w:rFonts w:ascii="Arial" w:hAnsi="Arial" w:cs="Arial"/>
      <w:b/>
      <w:bCs/>
      <w:szCs w:val="24"/>
    </w:rPr>
  </w:style>
  <w:style w:type="paragraph" w:styleId="Datum">
    <w:name w:val="Date"/>
    <w:basedOn w:val="Normal"/>
    <w:next w:val="Normal"/>
    <w:rsid w:val="00894B4B"/>
  </w:style>
  <w:style w:type="paragraph" w:styleId="Dokumentversikt">
    <w:name w:val="Document Map"/>
    <w:basedOn w:val="Normal"/>
    <w:semiHidden/>
    <w:rsid w:val="00894B4B"/>
    <w:pPr>
      <w:shd w:val="clear" w:color="auto" w:fill="000080"/>
    </w:pPr>
    <w:rPr>
      <w:rFonts w:ascii="Tahoma" w:hAnsi="Tahoma" w:cs="Tahoma"/>
      <w:sz w:val="20"/>
    </w:rPr>
  </w:style>
  <w:style w:type="paragraph" w:styleId="E-postsignatur">
    <w:name w:val="E-mail Signature"/>
    <w:basedOn w:val="Normal"/>
    <w:rsid w:val="00894B4B"/>
  </w:style>
  <w:style w:type="paragraph" w:styleId="HTML-adress">
    <w:name w:val="HTML Address"/>
    <w:basedOn w:val="Normal"/>
    <w:rsid w:val="00894B4B"/>
    <w:rPr>
      <w:i/>
      <w:iCs/>
    </w:rPr>
  </w:style>
  <w:style w:type="paragraph" w:styleId="HTML-frformaterad">
    <w:name w:val="HTML Preformatted"/>
    <w:basedOn w:val="Normal"/>
    <w:rsid w:val="00894B4B"/>
    <w:rPr>
      <w:rFonts w:ascii="Courier New" w:hAnsi="Courier New" w:cs="Courier New"/>
      <w:sz w:val="20"/>
    </w:rPr>
  </w:style>
  <w:style w:type="paragraph" w:styleId="Indragetstycke">
    <w:name w:val="Block Text"/>
    <w:basedOn w:val="Normal"/>
    <w:rsid w:val="00894B4B"/>
    <w:pPr>
      <w:spacing w:after="120"/>
      <w:ind w:left="1440" w:right="1440"/>
    </w:pPr>
  </w:style>
  <w:style w:type="paragraph" w:styleId="Inledning">
    <w:name w:val="Salutation"/>
    <w:basedOn w:val="Normal"/>
    <w:next w:val="Normal"/>
    <w:rsid w:val="00894B4B"/>
  </w:style>
  <w:style w:type="paragraph" w:styleId="Kommentarsmne">
    <w:name w:val="annotation subject"/>
    <w:basedOn w:val="Kommentarer"/>
    <w:next w:val="Kommentarer"/>
    <w:semiHidden/>
    <w:rsid w:val="00894B4B"/>
    <w:rPr>
      <w:b/>
      <w:bCs/>
    </w:rPr>
  </w:style>
  <w:style w:type="paragraph" w:styleId="Lista">
    <w:name w:val="List"/>
    <w:basedOn w:val="Normal"/>
    <w:rsid w:val="00894B4B"/>
    <w:pPr>
      <w:ind w:left="283" w:hanging="283"/>
    </w:pPr>
  </w:style>
  <w:style w:type="paragraph" w:styleId="Lista2">
    <w:name w:val="List 2"/>
    <w:basedOn w:val="Normal"/>
    <w:rsid w:val="00894B4B"/>
    <w:pPr>
      <w:ind w:left="566" w:hanging="283"/>
    </w:pPr>
  </w:style>
  <w:style w:type="paragraph" w:styleId="Lista3">
    <w:name w:val="List 3"/>
    <w:basedOn w:val="Normal"/>
    <w:rsid w:val="00894B4B"/>
    <w:pPr>
      <w:ind w:left="849" w:hanging="283"/>
    </w:pPr>
  </w:style>
  <w:style w:type="paragraph" w:styleId="Lista4">
    <w:name w:val="List 4"/>
    <w:basedOn w:val="Normal"/>
    <w:rsid w:val="00894B4B"/>
    <w:pPr>
      <w:ind w:left="1132" w:hanging="283"/>
    </w:pPr>
  </w:style>
  <w:style w:type="paragraph" w:styleId="Lista5">
    <w:name w:val="List 5"/>
    <w:basedOn w:val="Normal"/>
    <w:rsid w:val="00894B4B"/>
    <w:pPr>
      <w:ind w:left="1415" w:hanging="283"/>
    </w:pPr>
  </w:style>
  <w:style w:type="paragraph" w:styleId="Listafortstt">
    <w:name w:val="List Continue"/>
    <w:basedOn w:val="Normal"/>
    <w:rsid w:val="00894B4B"/>
    <w:pPr>
      <w:spacing w:after="120"/>
      <w:ind w:left="283"/>
    </w:pPr>
  </w:style>
  <w:style w:type="paragraph" w:styleId="Listafortstt2">
    <w:name w:val="List Continue 2"/>
    <w:basedOn w:val="Normal"/>
    <w:rsid w:val="00894B4B"/>
    <w:pPr>
      <w:spacing w:after="120"/>
      <w:ind w:left="566"/>
    </w:pPr>
  </w:style>
  <w:style w:type="paragraph" w:styleId="Listafortstt3">
    <w:name w:val="List Continue 3"/>
    <w:basedOn w:val="Normal"/>
    <w:rsid w:val="00894B4B"/>
    <w:pPr>
      <w:spacing w:after="120"/>
      <w:ind w:left="849"/>
    </w:pPr>
  </w:style>
  <w:style w:type="paragraph" w:styleId="Listafortstt4">
    <w:name w:val="List Continue 4"/>
    <w:basedOn w:val="Normal"/>
    <w:rsid w:val="00894B4B"/>
    <w:pPr>
      <w:spacing w:after="120"/>
      <w:ind w:left="1132"/>
    </w:pPr>
  </w:style>
  <w:style w:type="paragraph" w:styleId="Listafortstt5">
    <w:name w:val="List Continue 5"/>
    <w:basedOn w:val="Normal"/>
    <w:rsid w:val="00894B4B"/>
    <w:pPr>
      <w:spacing w:after="120"/>
      <w:ind w:left="1415"/>
    </w:pPr>
  </w:style>
  <w:style w:type="paragraph" w:styleId="Makrotext">
    <w:name w:val="macro"/>
    <w:semiHidden/>
    <w:rsid w:val="00894B4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ddelanderubrik">
    <w:name w:val="Message Header"/>
    <w:basedOn w:val="Normal"/>
    <w:rsid w:val="00894B4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b">
    <w:name w:val="Normal (Web)"/>
    <w:basedOn w:val="Normal"/>
    <w:rsid w:val="00894B4B"/>
    <w:rPr>
      <w:szCs w:val="24"/>
    </w:rPr>
  </w:style>
  <w:style w:type="paragraph" w:styleId="Normaltindrag">
    <w:name w:val="Normal Indent"/>
    <w:basedOn w:val="Normal"/>
    <w:rsid w:val="00894B4B"/>
    <w:pPr>
      <w:ind w:left="1304"/>
    </w:pPr>
  </w:style>
  <w:style w:type="paragraph" w:styleId="Numreradlista">
    <w:name w:val="List Number"/>
    <w:basedOn w:val="Normal"/>
    <w:rsid w:val="00894B4B"/>
    <w:pPr>
      <w:numPr>
        <w:numId w:val="1"/>
      </w:numPr>
    </w:pPr>
  </w:style>
  <w:style w:type="paragraph" w:styleId="Numreradlista2">
    <w:name w:val="List Number 2"/>
    <w:basedOn w:val="Normal"/>
    <w:rsid w:val="00894B4B"/>
    <w:pPr>
      <w:numPr>
        <w:numId w:val="2"/>
      </w:numPr>
    </w:pPr>
  </w:style>
  <w:style w:type="paragraph" w:styleId="Numreradlista3">
    <w:name w:val="List Number 3"/>
    <w:basedOn w:val="Normal"/>
    <w:rsid w:val="00894B4B"/>
    <w:pPr>
      <w:numPr>
        <w:numId w:val="3"/>
      </w:numPr>
    </w:pPr>
  </w:style>
  <w:style w:type="paragraph" w:styleId="Numreradlista4">
    <w:name w:val="List Number 4"/>
    <w:basedOn w:val="Normal"/>
    <w:rsid w:val="00894B4B"/>
    <w:pPr>
      <w:numPr>
        <w:numId w:val="4"/>
      </w:numPr>
    </w:pPr>
  </w:style>
  <w:style w:type="paragraph" w:styleId="Numreradlista5">
    <w:name w:val="List Number 5"/>
    <w:basedOn w:val="Normal"/>
    <w:rsid w:val="00894B4B"/>
    <w:pPr>
      <w:numPr>
        <w:numId w:val="5"/>
      </w:numPr>
    </w:pPr>
  </w:style>
  <w:style w:type="paragraph" w:styleId="Oformateradtext">
    <w:name w:val="Plain Text"/>
    <w:basedOn w:val="Normal"/>
    <w:rsid w:val="00894B4B"/>
    <w:rPr>
      <w:rFonts w:ascii="Courier New" w:hAnsi="Courier New" w:cs="Courier New"/>
      <w:sz w:val="20"/>
    </w:rPr>
  </w:style>
  <w:style w:type="paragraph" w:styleId="Punktlista">
    <w:name w:val="List Bullet"/>
    <w:basedOn w:val="Normal"/>
    <w:rsid w:val="00894B4B"/>
    <w:pPr>
      <w:numPr>
        <w:numId w:val="6"/>
      </w:numPr>
    </w:pPr>
  </w:style>
  <w:style w:type="paragraph" w:styleId="Punktlista2">
    <w:name w:val="List Bullet 2"/>
    <w:basedOn w:val="Normal"/>
    <w:rsid w:val="00894B4B"/>
    <w:pPr>
      <w:numPr>
        <w:numId w:val="7"/>
      </w:numPr>
    </w:pPr>
  </w:style>
  <w:style w:type="paragraph" w:styleId="Punktlista3">
    <w:name w:val="List Bullet 3"/>
    <w:basedOn w:val="Normal"/>
    <w:rsid w:val="00894B4B"/>
    <w:pPr>
      <w:numPr>
        <w:numId w:val="8"/>
      </w:numPr>
    </w:pPr>
  </w:style>
  <w:style w:type="paragraph" w:styleId="Punktlista4">
    <w:name w:val="List Bullet 4"/>
    <w:basedOn w:val="Normal"/>
    <w:rsid w:val="00894B4B"/>
    <w:pPr>
      <w:numPr>
        <w:numId w:val="9"/>
      </w:numPr>
    </w:pPr>
  </w:style>
  <w:style w:type="paragraph" w:styleId="Punktlista5">
    <w:name w:val="List Bullet 5"/>
    <w:basedOn w:val="Normal"/>
    <w:rsid w:val="00894B4B"/>
    <w:pPr>
      <w:numPr>
        <w:numId w:val="10"/>
      </w:numPr>
    </w:pPr>
  </w:style>
  <w:style w:type="paragraph" w:styleId="Rubrik">
    <w:name w:val="Title"/>
    <w:basedOn w:val="Normal"/>
    <w:qFormat/>
    <w:rsid w:val="00894B4B"/>
    <w:pPr>
      <w:spacing w:before="240" w:after="60"/>
      <w:jc w:val="center"/>
      <w:outlineLvl w:val="0"/>
    </w:pPr>
    <w:rPr>
      <w:rFonts w:ascii="Arial" w:hAnsi="Arial" w:cs="Arial"/>
      <w:b/>
      <w:bCs/>
      <w:kern w:val="28"/>
      <w:sz w:val="32"/>
      <w:szCs w:val="32"/>
    </w:rPr>
  </w:style>
  <w:style w:type="paragraph" w:styleId="Signatur">
    <w:name w:val="Signature"/>
    <w:basedOn w:val="Normal"/>
    <w:rsid w:val="00894B4B"/>
    <w:pPr>
      <w:ind w:left="4252"/>
    </w:pPr>
  </w:style>
  <w:style w:type="paragraph" w:styleId="Underrubrik">
    <w:name w:val="Subtitle"/>
    <w:basedOn w:val="Normal"/>
    <w:qFormat/>
    <w:rsid w:val="00894B4B"/>
    <w:pPr>
      <w:spacing w:after="60"/>
      <w:jc w:val="center"/>
      <w:outlineLvl w:val="1"/>
    </w:pPr>
    <w:rPr>
      <w:rFonts w:ascii="Arial" w:hAnsi="Arial" w:cs="Arial"/>
      <w:szCs w:val="24"/>
    </w:rPr>
  </w:style>
  <w:style w:type="paragraph" w:customStyle="1" w:styleId="zDatum">
    <w:name w:val="zDatum"/>
    <w:basedOn w:val="Normal"/>
    <w:rsid w:val="00841615"/>
    <w:pPr>
      <w:spacing w:before="220"/>
    </w:pPr>
    <w:rPr>
      <w:rFonts w:ascii="Verdana" w:hAnsi="Verdana"/>
      <w:sz w:val="18"/>
      <w:szCs w:val="18"/>
    </w:rPr>
  </w:style>
  <w:style w:type="paragraph" w:customStyle="1" w:styleId="zStatus">
    <w:name w:val="zStatus"/>
    <w:basedOn w:val="Normal"/>
    <w:next w:val="Normal"/>
    <w:rsid w:val="00841615"/>
    <w:pPr>
      <w:spacing w:before="460" w:line="500" w:lineRule="exact"/>
    </w:pPr>
    <w:rPr>
      <w:rFonts w:ascii="Verdana" w:hAnsi="Verdana"/>
      <w:caps/>
      <w:sz w:val="36"/>
      <w:szCs w:val="36"/>
    </w:rPr>
  </w:style>
  <w:style w:type="paragraph" w:customStyle="1" w:styleId="zTypAvDokument">
    <w:name w:val="zTypAvDokument"/>
    <w:basedOn w:val="Normal"/>
    <w:rsid w:val="00841615"/>
    <w:pPr>
      <w:spacing w:before="180"/>
    </w:pPr>
    <w:rPr>
      <w:rFonts w:ascii="Verdana" w:hAnsi="Verdana"/>
      <w:sz w:val="22"/>
      <w:szCs w:val="22"/>
    </w:rPr>
  </w:style>
  <w:style w:type="paragraph" w:customStyle="1" w:styleId="zDnr">
    <w:name w:val="zDnr"/>
    <w:basedOn w:val="Normal"/>
    <w:rsid w:val="00841615"/>
    <w:pPr>
      <w:jc w:val="right"/>
    </w:pPr>
    <w:rPr>
      <w:rFonts w:ascii="Verdana" w:hAnsi="Verdana"/>
      <w:sz w:val="18"/>
      <w:szCs w:val="18"/>
    </w:rPr>
  </w:style>
  <w:style w:type="paragraph" w:customStyle="1" w:styleId="zDokbet">
    <w:name w:val="zDokbet"/>
    <w:basedOn w:val="Normal"/>
    <w:rsid w:val="00841615"/>
    <w:pPr>
      <w:jc w:val="right"/>
    </w:pPr>
    <w:rPr>
      <w:rFonts w:ascii="Verdana" w:hAnsi="Verdana"/>
      <w:sz w:val="18"/>
      <w:szCs w:val="18"/>
    </w:rPr>
  </w:style>
  <w:style w:type="paragraph" w:customStyle="1" w:styleId="zVersion">
    <w:name w:val="zVersion"/>
    <w:basedOn w:val="Normal"/>
    <w:rsid w:val="00841615"/>
    <w:pPr>
      <w:jc w:val="right"/>
    </w:pPr>
    <w:rPr>
      <w:rFonts w:ascii="Verdana" w:hAnsi="Verdana"/>
      <w:sz w:val="18"/>
      <w:szCs w:val="18"/>
    </w:rPr>
  </w:style>
  <w:style w:type="paragraph" w:customStyle="1" w:styleId="zDnrLedtext">
    <w:name w:val="zDnrLedtext"/>
    <w:basedOn w:val="Normal"/>
    <w:rsid w:val="00841615"/>
    <w:pPr>
      <w:spacing w:before="40"/>
      <w:ind w:right="-68"/>
    </w:pPr>
    <w:rPr>
      <w:rFonts w:ascii="Verdana" w:hAnsi="Verdana"/>
      <w:noProof/>
      <w:sz w:val="14"/>
      <w:szCs w:val="14"/>
    </w:rPr>
  </w:style>
  <w:style w:type="paragraph" w:customStyle="1" w:styleId="zVersionLedtext">
    <w:name w:val="zVersionLedtext"/>
    <w:basedOn w:val="Normal"/>
    <w:rsid w:val="00841615"/>
    <w:pPr>
      <w:spacing w:before="40"/>
      <w:ind w:right="-68"/>
    </w:pPr>
    <w:rPr>
      <w:rFonts w:ascii="Verdana" w:hAnsi="Verdana"/>
      <w:sz w:val="14"/>
      <w:szCs w:val="14"/>
    </w:rPr>
  </w:style>
  <w:style w:type="paragraph" w:customStyle="1" w:styleId="zDokbetLedtext">
    <w:name w:val="zDokbetLedtext"/>
    <w:basedOn w:val="Normal"/>
    <w:rsid w:val="00841615"/>
    <w:pPr>
      <w:spacing w:before="40"/>
      <w:ind w:right="-68"/>
    </w:pPr>
    <w:rPr>
      <w:rFonts w:ascii="Verdana" w:hAnsi="Verdana"/>
      <w:noProof/>
      <w:sz w:val="14"/>
      <w:szCs w:val="14"/>
    </w:rPr>
  </w:style>
  <w:style w:type="paragraph" w:customStyle="1" w:styleId="zBrevhuvudLedtext">
    <w:name w:val="zBrevhuvudLedtext"/>
    <w:basedOn w:val="Normal"/>
    <w:rsid w:val="00841615"/>
    <w:pPr>
      <w:spacing w:before="40"/>
      <w:ind w:right="-68"/>
    </w:pPr>
    <w:rPr>
      <w:rFonts w:ascii="Verdana" w:hAnsi="Verdana"/>
      <w:noProof/>
      <w:sz w:val="14"/>
      <w:szCs w:val="14"/>
    </w:rPr>
  </w:style>
  <w:style w:type="paragraph" w:customStyle="1" w:styleId="zSidhuvud">
    <w:name w:val="zSidhuvud"/>
    <w:basedOn w:val="Normal"/>
    <w:rsid w:val="00D940DA"/>
    <w:pPr>
      <w:jc w:val="right"/>
    </w:pPr>
    <w:rPr>
      <w:rFonts w:ascii="Verdana" w:hAnsi="Verdana"/>
      <w:sz w:val="18"/>
      <w:szCs w:val="18"/>
    </w:rPr>
  </w:style>
  <w:style w:type="paragraph" w:customStyle="1" w:styleId="Titel2">
    <w:name w:val="Titel 2"/>
    <w:basedOn w:val="Normal"/>
    <w:rsid w:val="004307AF"/>
    <w:pPr>
      <w:spacing w:before="280" w:after="200" w:line="280" w:lineRule="atLeast"/>
    </w:pPr>
    <w:rPr>
      <w:rFonts w:ascii="Verdana" w:hAnsi="Verdana"/>
      <w:sz w:val="28"/>
      <w:szCs w:val="28"/>
    </w:rPr>
  </w:style>
  <w:style w:type="table" w:styleId="Tabellrutntljust">
    <w:name w:val="Grid Table Light"/>
    <w:basedOn w:val="Normaltabell"/>
    <w:uiPriority w:val="40"/>
    <w:rsid w:val="001F036B"/>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stycke">
    <w:name w:val="List Paragraph"/>
    <w:basedOn w:val="Normal"/>
    <w:uiPriority w:val="34"/>
    <w:rsid w:val="00B171B5"/>
    <w:pPr>
      <w:tabs>
        <w:tab w:val="left" w:pos="170"/>
      </w:tabs>
      <w:spacing w:after="120" w:line="280" w:lineRule="atLeast"/>
      <w:ind w:left="720"/>
      <w:contextualSpacing/>
    </w:pPr>
    <w:rPr>
      <w:rFonts w:asciiTheme="minorHAnsi" w:eastAsiaTheme="minorHAnsi" w:hAnsiTheme="minorHAnsi" w:cstheme="minorBidi"/>
      <w:szCs w:val="22"/>
      <w:lang w:eastAsia="en-US"/>
    </w:rPr>
  </w:style>
  <w:style w:type="character" w:styleId="Kommentarsreferens">
    <w:name w:val="annotation reference"/>
    <w:basedOn w:val="Standardstycketeckensnitt"/>
    <w:semiHidden/>
    <w:unhideWhenUsed/>
    <w:rsid w:val="00FE1B5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47672">
      <w:bodyDiv w:val="1"/>
      <w:marLeft w:val="0"/>
      <w:marRight w:val="0"/>
      <w:marTop w:val="0"/>
      <w:marBottom w:val="0"/>
      <w:divBdr>
        <w:top w:val="none" w:sz="0" w:space="0" w:color="auto"/>
        <w:left w:val="none" w:sz="0" w:space="0" w:color="auto"/>
        <w:bottom w:val="none" w:sz="0" w:space="0" w:color="auto"/>
        <w:right w:val="none" w:sz="0" w:space="0" w:color="auto"/>
      </w:divBdr>
    </w:div>
    <w:div w:id="384647026">
      <w:bodyDiv w:val="1"/>
      <w:marLeft w:val="0"/>
      <w:marRight w:val="0"/>
      <w:marTop w:val="0"/>
      <w:marBottom w:val="0"/>
      <w:divBdr>
        <w:top w:val="none" w:sz="0" w:space="0" w:color="auto"/>
        <w:left w:val="none" w:sz="0" w:space="0" w:color="auto"/>
        <w:bottom w:val="none" w:sz="0" w:space="0" w:color="auto"/>
        <w:right w:val="none" w:sz="0" w:space="0" w:color="auto"/>
      </w:divBdr>
    </w:div>
    <w:div w:id="520781367">
      <w:bodyDiv w:val="1"/>
      <w:marLeft w:val="0"/>
      <w:marRight w:val="0"/>
      <w:marTop w:val="0"/>
      <w:marBottom w:val="0"/>
      <w:divBdr>
        <w:top w:val="none" w:sz="0" w:space="0" w:color="auto"/>
        <w:left w:val="none" w:sz="0" w:space="0" w:color="auto"/>
        <w:bottom w:val="none" w:sz="0" w:space="0" w:color="auto"/>
        <w:right w:val="none" w:sz="0" w:space="0" w:color="auto"/>
      </w:divBdr>
    </w:div>
    <w:div w:id="632902241">
      <w:bodyDiv w:val="1"/>
      <w:marLeft w:val="0"/>
      <w:marRight w:val="0"/>
      <w:marTop w:val="0"/>
      <w:marBottom w:val="0"/>
      <w:divBdr>
        <w:top w:val="none" w:sz="0" w:space="0" w:color="auto"/>
        <w:left w:val="none" w:sz="0" w:space="0" w:color="auto"/>
        <w:bottom w:val="none" w:sz="0" w:space="0" w:color="auto"/>
        <w:right w:val="none" w:sz="0" w:space="0" w:color="auto"/>
      </w:divBdr>
    </w:div>
    <w:div w:id="758478119">
      <w:bodyDiv w:val="1"/>
      <w:marLeft w:val="0"/>
      <w:marRight w:val="0"/>
      <w:marTop w:val="0"/>
      <w:marBottom w:val="0"/>
      <w:divBdr>
        <w:top w:val="none" w:sz="0" w:space="0" w:color="auto"/>
        <w:left w:val="none" w:sz="0" w:space="0" w:color="auto"/>
        <w:bottom w:val="none" w:sz="0" w:space="0" w:color="auto"/>
        <w:right w:val="none" w:sz="0" w:space="0" w:color="auto"/>
      </w:divBdr>
    </w:div>
    <w:div w:id="825778623">
      <w:bodyDiv w:val="1"/>
      <w:marLeft w:val="0"/>
      <w:marRight w:val="0"/>
      <w:marTop w:val="0"/>
      <w:marBottom w:val="0"/>
      <w:divBdr>
        <w:top w:val="none" w:sz="0" w:space="0" w:color="auto"/>
        <w:left w:val="none" w:sz="0" w:space="0" w:color="auto"/>
        <w:bottom w:val="none" w:sz="0" w:space="0" w:color="auto"/>
        <w:right w:val="none" w:sz="0" w:space="0" w:color="auto"/>
      </w:divBdr>
    </w:div>
    <w:div w:id="956721468">
      <w:bodyDiv w:val="1"/>
      <w:marLeft w:val="0"/>
      <w:marRight w:val="0"/>
      <w:marTop w:val="0"/>
      <w:marBottom w:val="0"/>
      <w:divBdr>
        <w:top w:val="none" w:sz="0" w:space="0" w:color="auto"/>
        <w:left w:val="none" w:sz="0" w:space="0" w:color="auto"/>
        <w:bottom w:val="none" w:sz="0" w:space="0" w:color="auto"/>
        <w:right w:val="none" w:sz="0" w:space="0" w:color="auto"/>
      </w:divBdr>
    </w:div>
    <w:div w:id="992638967">
      <w:bodyDiv w:val="1"/>
      <w:marLeft w:val="0"/>
      <w:marRight w:val="0"/>
      <w:marTop w:val="0"/>
      <w:marBottom w:val="0"/>
      <w:divBdr>
        <w:top w:val="none" w:sz="0" w:space="0" w:color="auto"/>
        <w:left w:val="none" w:sz="0" w:space="0" w:color="auto"/>
        <w:bottom w:val="none" w:sz="0" w:space="0" w:color="auto"/>
        <w:right w:val="none" w:sz="0" w:space="0" w:color="auto"/>
      </w:divBdr>
    </w:div>
    <w:div w:id="1156529226">
      <w:bodyDiv w:val="1"/>
      <w:marLeft w:val="0"/>
      <w:marRight w:val="0"/>
      <w:marTop w:val="0"/>
      <w:marBottom w:val="0"/>
      <w:divBdr>
        <w:top w:val="none" w:sz="0" w:space="0" w:color="auto"/>
        <w:left w:val="none" w:sz="0" w:space="0" w:color="auto"/>
        <w:bottom w:val="none" w:sz="0" w:space="0" w:color="auto"/>
        <w:right w:val="none" w:sz="0" w:space="0" w:color="auto"/>
      </w:divBdr>
    </w:div>
    <w:div w:id="1190341850">
      <w:bodyDiv w:val="1"/>
      <w:marLeft w:val="0"/>
      <w:marRight w:val="0"/>
      <w:marTop w:val="0"/>
      <w:marBottom w:val="0"/>
      <w:divBdr>
        <w:top w:val="none" w:sz="0" w:space="0" w:color="auto"/>
        <w:left w:val="none" w:sz="0" w:space="0" w:color="auto"/>
        <w:bottom w:val="none" w:sz="0" w:space="0" w:color="auto"/>
        <w:right w:val="none" w:sz="0" w:space="0" w:color="auto"/>
      </w:divBdr>
    </w:div>
    <w:div w:id="1301766455">
      <w:bodyDiv w:val="1"/>
      <w:marLeft w:val="0"/>
      <w:marRight w:val="0"/>
      <w:marTop w:val="0"/>
      <w:marBottom w:val="0"/>
      <w:divBdr>
        <w:top w:val="none" w:sz="0" w:space="0" w:color="auto"/>
        <w:left w:val="none" w:sz="0" w:space="0" w:color="auto"/>
        <w:bottom w:val="none" w:sz="0" w:space="0" w:color="auto"/>
        <w:right w:val="none" w:sz="0" w:space="0" w:color="auto"/>
      </w:divBdr>
    </w:div>
    <w:div w:id="1464037983">
      <w:bodyDiv w:val="1"/>
      <w:marLeft w:val="0"/>
      <w:marRight w:val="0"/>
      <w:marTop w:val="0"/>
      <w:marBottom w:val="0"/>
      <w:divBdr>
        <w:top w:val="none" w:sz="0" w:space="0" w:color="auto"/>
        <w:left w:val="none" w:sz="0" w:space="0" w:color="auto"/>
        <w:bottom w:val="none" w:sz="0" w:space="0" w:color="auto"/>
        <w:right w:val="none" w:sz="0" w:space="0" w:color="auto"/>
      </w:divBdr>
    </w:div>
    <w:div w:id="1518617641">
      <w:bodyDiv w:val="1"/>
      <w:marLeft w:val="0"/>
      <w:marRight w:val="0"/>
      <w:marTop w:val="0"/>
      <w:marBottom w:val="0"/>
      <w:divBdr>
        <w:top w:val="none" w:sz="0" w:space="0" w:color="auto"/>
        <w:left w:val="none" w:sz="0" w:space="0" w:color="auto"/>
        <w:bottom w:val="none" w:sz="0" w:space="0" w:color="auto"/>
        <w:right w:val="none" w:sz="0" w:space="0" w:color="auto"/>
      </w:divBdr>
    </w:div>
    <w:div w:id="1677613975">
      <w:bodyDiv w:val="1"/>
      <w:marLeft w:val="0"/>
      <w:marRight w:val="0"/>
      <w:marTop w:val="0"/>
      <w:marBottom w:val="0"/>
      <w:divBdr>
        <w:top w:val="none" w:sz="0" w:space="0" w:color="auto"/>
        <w:left w:val="none" w:sz="0" w:space="0" w:color="auto"/>
        <w:bottom w:val="none" w:sz="0" w:space="0" w:color="auto"/>
        <w:right w:val="none" w:sz="0" w:space="0" w:color="auto"/>
      </w:divBdr>
    </w:div>
    <w:div w:id="1692756334">
      <w:bodyDiv w:val="1"/>
      <w:marLeft w:val="0"/>
      <w:marRight w:val="0"/>
      <w:marTop w:val="0"/>
      <w:marBottom w:val="0"/>
      <w:divBdr>
        <w:top w:val="none" w:sz="0" w:space="0" w:color="auto"/>
        <w:left w:val="none" w:sz="0" w:space="0" w:color="auto"/>
        <w:bottom w:val="none" w:sz="0" w:space="0" w:color="auto"/>
        <w:right w:val="none" w:sz="0" w:space="0" w:color="auto"/>
      </w:divBdr>
    </w:div>
    <w:div w:id="1818918486">
      <w:bodyDiv w:val="1"/>
      <w:marLeft w:val="0"/>
      <w:marRight w:val="0"/>
      <w:marTop w:val="0"/>
      <w:marBottom w:val="0"/>
      <w:divBdr>
        <w:top w:val="none" w:sz="0" w:space="0" w:color="auto"/>
        <w:left w:val="none" w:sz="0" w:space="0" w:color="auto"/>
        <w:bottom w:val="none" w:sz="0" w:space="0" w:color="auto"/>
        <w:right w:val="none" w:sz="0" w:space="0" w:color="auto"/>
      </w:divBdr>
    </w:div>
    <w:div w:id="1971591569">
      <w:bodyDiv w:val="1"/>
      <w:marLeft w:val="0"/>
      <w:marRight w:val="0"/>
      <w:marTop w:val="0"/>
      <w:marBottom w:val="0"/>
      <w:divBdr>
        <w:top w:val="none" w:sz="0" w:space="0" w:color="auto"/>
        <w:left w:val="none" w:sz="0" w:space="0" w:color="auto"/>
        <w:bottom w:val="none" w:sz="0" w:space="0" w:color="auto"/>
        <w:right w:val="none" w:sz="0" w:space="0" w:color="auto"/>
      </w:divBdr>
    </w:div>
    <w:div w:id="1990090337">
      <w:bodyDiv w:val="1"/>
      <w:marLeft w:val="0"/>
      <w:marRight w:val="0"/>
      <w:marTop w:val="0"/>
      <w:marBottom w:val="0"/>
      <w:divBdr>
        <w:top w:val="none" w:sz="0" w:space="0" w:color="auto"/>
        <w:left w:val="none" w:sz="0" w:space="0" w:color="auto"/>
        <w:bottom w:val="none" w:sz="0" w:space="0" w:color="auto"/>
        <w:right w:val="none" w:sz="0" w:space="0" w:color="auto"/>
      </w:divBdr>
    </w:div>
    <w:div w:id="2120373660">
      <w:bodyDiv w:val="1"/>
      <w:marLeft w:val="0"/>
      <w:marRight w:val="0"/>
      <w:marTop w:val="0"/>
      <w:marBottom w:val="0"/>
      <w:divBdr>
        <w:top w:val="none" w:sz="0" w:space="0" w:color="auto"/>
        <w:left w:val="none" w:sz="0" w:space="0" w:color="auto"/>
        <w:bottom w:val="none" w:sz="0" w:space="0" w:color="auto"/>
        <w:right w:val="none" w:sz="0" w:space="0" w:color="auto"/>
      </w:divBdr>
    </w:div>
    <w:div w:id="214716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N:\HK\FU\AVDGEM\Prognoser\1.4.1%20Utgiftsprognoser\Anslagsuppf&#246;ljning\mall%20oktober%202009.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derlag" ma:contentTypeID="0x010100502CDB7A0A91F2418536AA9171EEDEB52600B2CB3847F8FDD54A8D73A9234733EB70" ma:contentTypeVersion="23" ma:contentTypeDescription="" ma:contentTypeScope="" ma:versionID="872ad6eba02eec648034b5e1428e5605">
  <xsd:schema xmlns:xsd="http://www.w3.org/2001/XMLSchema" xmlns:xs="http://www.w3.org/2001/XMLSchema" xmlns:p="http://schemas.microsoft.com/office/2006/metadata/properties" xmlns:ns2="465edb57-3a11-4ff8-9c43-7dc2da403828" targetNamespace="http://schemas.microsoft.com/office/2006/metadata/properties" ma:root="true" ma:fieldsID="82872c8ffdba14d6d39ebe23347a3757" ns2:_="">
    <xsd:import namespace="465edb57-3a11-4ff8-9c43-7dc2da403828"/>
    <xsd:element name="properties">
      <xsd:complexType>
        <xsd:sequence>
          <xsd:element name="documentManagement">
            <xsd:complexType>
              <xsd:all>
                <xsd:element ref="ns2:Säkerhetsklass"/>
                <xsd:element ref="ns2:Dokumentstatus"/>
                <xsd:element ref="ns2:Sekretessmarkering" minOccurs="0"/>
                <xsd:element ref="ns2:TaxKeywordTaxHTField" minOccurs="0"/>
                <xsd:element ref="ns2:TaxCatchAll" minOccurs="0"/>
                <xsd:element ref="ns2:TaxCatchAllLabel" minOccurs="0"/>
                <xsd:element ref="ns2:_dlc_DocId" minOccurs="0"/>
                <xsd:element ref="ns2:_dlc_DocIdUrl" minOccurs="0"/>
                <xsd:element ref="ns2:_dlc_DocIdPersistId" minOccurs="0"/>
                <xsd:element ref="ns2:c611286023d1454ea232712bcb23581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edb57-3a11-4ff8-9c43-7dc2da403828" elementFormDefault="qualified">
    <xsd:import namespace="http://schemas.microsoft.com/office/2006/documentManagement/types"/>
    <xsd:import namespace="http://schemas.microsoft.com/office/infopath/2007/PartnerControls"/>
    <xsd:element name="Säkerhetsklass" ma:index="1" ma:displayName="Informationsklass" ma:default="Intern" ma:description="Anger vilken typ av information dokumentet innehåller och hur spridning får ske. Se PID109393 Informationsklassning – Anvisning.&#10;http://orangeriet/download/18.3ebb74d13a5948e7343154/1372924502831/PID109393_v1.0+Anvisning+informationsklassning.pdf" ma:format="Dropdown" ma:internalName="S_x00e4_kerhetsklass">
      <xsd:simpleType>
        <xsd:restriction base="dms:Choice">
          <xsd:enumeration value="Ej klassificerad"/>
          <xsd:enumeration value="Publik"/>
          <xsd:enumeration value="Intern"/>
          <xsd:enumeration value="Känslig"/>
          <xsd:enumeration value="Mycket känslig"/>
        </xsd:restriction>
      </xsd:simpleType>
    </xsd:element>
    <xsd:element name="Dokumentstatus" ma:index="2" ma:displayName="Dokumentstatus" ma:default="UTKAST" ma:description="Ett dokument ska ha status utkast fram till att det godkänns av dokumentägaren." ma:format="Dropdown" ma:internalName="Dokumentstatus">
      <xsd:simpleType>
        <xsd:restriction base="dms:Choice">
          <xsd:enumeration value="UTKAST"/>
          <xsd:enumeration value="GODKÄND"/>
          <xsd:enumeration value="INAKTUELL"/>
        </xsd:restriction>
      </xsd:simpleType>
    </xsd:element>
    <xsd:element name="Sekretessmarkering" ma:index="5" nillable="true" ma:displayName="Sekretessmarkering" ma:description="Ange vilken typ av sekretess dokumentet omfattas av. om Ingen, lämna fältet blankt." ma:internalName="Sekretessmarkering">
      <xsd:complexType>
        <xsd:complexContent>
          <xsd:extension base="dms:MultiChoice">
            <xsd:sequence>
              <xsd:element name="Value" maxOccurs="unbounded" minOccurs="0" nillable="true">
                <xsd:simpleType>
                  <xsd:restriction base="dms:Choice">
                    <xsd:enumeration value="18 kap. 1 § (förundersökningssekretess)"/>
                    <xsd:enumeration value="18 kap. 3 § (Misstanke om brott)"/>
                    <xsd:enumeration value="18 kap. 8 §  eller 9 § (Informationssäkerhet)"/>
                    <xsd:enumeration value="21 kap. 3 § (Förföljda personer)"/>
                    <xsd:enumeration value="21 kap. 7 § (Risk för behandling i strid med GDPR)"/>
                    <xsd:enumeration value="24 kap. 8 § (Statistiksekretess)"/>
                    <xsd:enumeration value="28 kap. 1 § (Allmän socialförsäkringssekretess)"/>
                    <xsd:enumeration value="28 kap. 5 § (Socialförsäkringssekretess - fondval, efterlevandeskydd)"/>
                    <xsd:enumeration value="39 kap. 1 – 3 §§ (Sekretess i personaladministrativ verksamhet)"/>
                    <xsd:enumeration value="Annat"/>
                  </xsd:restriction>
                </xsd:simpleType>
              </xsd:element>
            </xsd:sequence>
          </xsd:extension>
        </xsd:complexContent>
      </xsd:complexType>
    </xsd:element>
    <xsd:element name="TaxKeywordTaxHTField" ma:index="10" nillable="true" ma:taxonomy="true" ma:internalName="TaxKeywordTaxHTField" ma:taxonomyFieldName="TaxKeyword" ma:displayName="Företagsnyckelord"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hidden="true" ma:list="{970712c8-eadc-496b-8176-7a0d5d700ad4}" ma:internalName="TaxCatchAll" ma:showField="CatchAllData" ma:web="3ae303ab-15e8-4cf6-a440-97e7f84f1a0a">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70712c8-eadc-496b-8176-7a0d5d700ad4}" ma:internalName="TaxCatchAllLabel" ma:readOnly="true" ma:showField="CatchAllDataLabel" ma:web="3ae303ab-15e8-4cf6-a440-97e7f84f1a0a">
      <xsd:complexType>
        <xsd:complexContent>
          <xsd:extension base="dms:MultiChoiceLookup">
            <xsd:sequence>
              <xsd:element name="Value" type="dms:Lookup" maxOccurs="unbounded" minOccurs="0" nillable="true"/>
            </xsd:sequence>
          </xsd:extension>
        </xsd:complexContent>
      </xsd:complexType>
    </xsd:element>
    <xsd:element name="_dlc_DocId" ma:index="14" nillable="true" ma:displayName="Dokument-ID-värde" ma:description="Värdet för dokument-ID som tilldelats till det här objektet." ma:internalName="_dlc_DocId" ma:readOnly="true">
      <xsd:simpleType>
        <xsd:restriction base="dms:Text"/>
      </xsd:simpleType>
    </xsd:element>
    <xsd:element name="_dlc_DocIdUrl" ma:index="15"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c611286023d1454ea232712bcb235812" ma:index="17" nillable="true" ma:taxonomy="true" ma:internalName="c611286023d1454ea232712bcb235812" ma:taxonomyFieldName="Processgrupp" ma:displayName="Processgrupp" ma:default="" ma:fieldId="{c6112860-23d1-454e-a232-712bcb235812}" ma:taxonomyMulti="true" ma:sspId="70cc9aaf-3c20-4758-af7f-200ca945dcd1" ma:termSetId="62fad8cf-4564-4199-a752-5142b1e49d9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nnehållstyp"/>
        <xsd:element ref="dc:title" minOccurs="0" maxOccurs="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611286023d1454ea232712bcb235812 xmlns="465edb57-3a11-4ff8-9c43-7dc2da403828">
      <Terms xmlns="http://schemas.microsoft.com/office/infopath/2007/PartnerControls">
        <TermInfo xmlns="http://schemas.microsoft.com/office/infopath/2007/PartnerControls">
          <TermName xmlns="http://schemas.microsoft.com/office/infopath/2007/PartnerControls">2.4.1 Redovisa/administrera ekonomi</TermName>
          <TermId xmlns="http://schemas.microsoft.com/office/infopath/2007/PartnerControls">07d92175-fe9b-412b-b2fd-3e9fd97df562</TermId>
        </TermInfo>
      </Terms>
    </c611286023d1454ea232712bcb235812>
    <Säkerhetsklass xmlns="465edb57-3a11-4ff8-9c43-7dc2da403828">Intern</Säkerhetsklass>
    <Dokumentstatus xmlns="465edb57-3a11-4ff8-9c43-7dc2da403828">UTKAST</Dokumentstatus>
    <TaxKeywordTaxHTField xmlns="465edb57-3a11-4ff8-9c43-7dc2da403828">
      <Terms xmlns="http://schemas.microsoft.com/office/infopath/2007/PartnerControls"/>
    </TaxKeywordTaxHTField>
    <Sekretessmarkering xmlns="465edb57-3a11-4ff8-9c43-7dc2da403828"/>
    <TaxCatchAll xmlns="465edb57-3a11-4ff8-9c43-7dc2da403828">
      <Value>10</Value>
      <Value>1</Value>
    </TaxCatchAll>
    <_dlc_DocId xmlns="465edb57-3a11-4ff8-9c43-7dc2da403828">4JXXJJFS64ZS-957833390-267</_dlc_DocId>
    <_dlc_DocIdUrl xmlns="465edb57-3a11-4ff8-9c43-7dc2da403828">
      <Url>https://sp.pensionsmyndigheten.se/ovr/ANSLAG/_layouts/15/DocIdRedir.aspx?ID=4JXXJJFS64ZS-957833390-267</Url>
      <Description>4JXXJJFS64ZS-957833390-267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70cc9aaf-3c20-4758-af7f-200ca945dcd1" ContentTypeId="0x010100502CDB7A0A91F2418536AA9171EEDEB526"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DC054-057D-4266-A2B9-230BBC908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5edb57-3a11-4ff8-9c43-7dc2da4038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C70616-FA98-4B88-A482-3892DF4B6253}">
  <ds:schemaRefs>
    <ds:schemaRef ds:uri="http://schemas.microsoft.com/office/2006/metadata/properties"/>
    <ds:schemaRef ds:uri="http://schemas.microsoft.com/office/infopath/2007/PartnerControls"/>
    <ds:schemaRef ds:uri="465edb57-3a11-4ff8-9c43-7dc2da403828"/>
  </ds:schemaRefs>
</ds:datastoreItem>
</file>

<file path=customXml/itemProps3.xml><?xml version="1.0" encoding="utf-8"?>
<ds:datastoreItem xmlns:ds="http://schemas.openxmlformats.org/officeDocument/2006/customXml" ds:itemID="{8002C353-C06F-441A-8660-4D87C7BF961E}">
  <ds:schemaRefs>
    <ds:schemaRef ds:uri="http://schemas.microsoft.com/sharepoint/v3/contenttype/forms"/>
  </ds:schemaRefs>
</ds:datastoreItem>
</file>

<file path=customXml/itemProps4.xml><?xml version="1.0" encoding="utf-8"?>
<ds:datastoreItem xmlns:ds="http://schemas.openxmlformats.org/officeDocument/2006/customXml" ds:itemID="{BC1DD485-660C-49C9-ADCA-A27FF6F9A016}">
  <ds:schemaRefs>
    <ds:schemaRef ds:uri="http://schemas.microsoft.com/sharepoint/events"/>
  </ds:schemaRefs>
</ds:datastoreItem>
</file>

<file path=customXml/itemProps5.xml><?xml version="1.0" encoding="utf-8"?>
<ds:datastoreItem xmlns:ds="http://schemas.openxmlformats.org/officeDocument/2006/customXml" ds:itemID="{16ACDAD1-1B2D-4901-8DEB-B3F6A9767969}">
  <ds:schemaRefs>
    <ds:schemaRef ds:uri="Microsoft.SharePoint.Taxonomy.ContentTypeSync"/>
  </ds:schemaRefs>
</ds:datastoreItem>
</file>

<file path=customXml/itemProps6.xml><?xml version="1.0" encoding="utf-8"?>
<ds:datastoreItem xmlns:ds="http://schemas.openxmlformats.org/officeDocument/2006/customXml" ds:itemID="{D1A13FB3-01F6-43FA-A989-5DDF77B01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 oktober 2009.dot</Template>
  <TotalTime>8</TotalTime>
  <Pages>9</Pages>
  <Words>2660</Words>
  <Characters>14102</Characters>
  <Application>Microsoft Office Word</Application>
  <DocSecurity>0</DocSecurity>
  <Lines>117</Lines>
  <Paragraphs>33</Paragraphs>
  <ScaleCrop>false</ScaleCrop>
  <HeadingPairs>
    <vt:vector size="2" baseType="variant">
      <vt:variant>
        <vt:lpstr>Rubrik</vt:lpstr>
      </vt:variant>
      <vt:variant>
        <vt:i4>1</vt:i4>
      </vt:variant>
    </vt:vector>
  </HeadingPairs>
  <TitlesOfParts>
    <vt:vector size="1" baseType="lpstr">
      <vt:lpstr/>
    </vt:vector>
  </TitlesOfParts>
  <Company>Försäkringskassan, Utvärderingsavdelningen</Company>
  <LinksUpToDate>false</LinksUpToDate>
  <CharactersWithSpaces>16729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Granbom</dc:creator>
  <cp:keywords/>
  <cp:lastModifiedBy>Johan Söderberg</cp:lastModifiedBy>
  <cp:revision>3</cp:revision>
  <cp:lastPrinted>2017-02-09T11:02:00Z</cp:lastPrinted>
  <dcterms:created xsi:type="dcterms:W3CDTF">2020-02-10T15:04:00Z</dcterms:created>
  <dcterms:modified xsi:type="dcterms:W3CDTF">2020-02-12T13:32:00Z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0x010100502CDB7A0A91F2418536AA9171EEDEB52600B2CB3847F8FDD54A8D73A9234733EB70</vt:lpwstr>
  </property>
  <property fmtid="{D5CDD505-2E9C-101B-9397-08002B2CF9AE}" pid="3" name="TaxKeyword">
    <vt:lpwstr/>
  </property>
  <property fmtid="{D5CDD505-2E9C-101B-9397-08002B2CF9AE}" pid="4" name="abc491f40c194aeca9d489bc3b2652f5">
    <vt:lpwstr>Hela Pensionsmyndigheten|1eaa11e7-d736-4537-b624-27e16bb1c838</vt:lpwstr>
  </property>
  <property fmtid="{D5CDD505-2E9C-101B-9397-08002B2CF9AE}" pid="5" name="Gäller för0">
    <vt:lpwstr>1;#Hela Pensionsmyndigheten|1eaa11e7-d736-4537-b624-27e16bb1c838</vt:lpwstr>
  </property>
  <property fmtid="{D5CDD505-2E9C-101B-9397-08002B2CF9AE}" pid="6" name="Processgrupp">
    <vt:lpwstr>10;#2.4.1 Redovisa/administrera ekonomi|07d92175-fe9b-412b-b2fd-3e9fd97df562</vt:lpwstr>
  </property>
  <property fmtid="{D5CDD505-2E9C-101B-9397-08002B2CF9AE}" pid="7" name="_dlc_DocIdItemGuid">
    <vt:lpwstr>2aed4ba5-292f-4ae5-8d1a-b6e9d68a5875</vt:lpwstr>
  </property>
  <property fmtid="{D5CDD505-2E9C-101B-9397-08002B2CF9AE}" pid="8" name="hf95c8e4ce864401a0ed1e6e433dc46e">
    <vt:lpwstr/>
  </property>
  <property fmtid="{D5CDD505-2E9C-101B-9397-08002B2CF9AE}" pid="9" name="Beslutsfattare0">
    <vt:lpwstr/>
  </property>
</Properties>
</file>